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8CA5C" w14:textId="4E8FF46A" w:rsidR="000A209A" w:rsidRDefault="000A209A">
      <w:pPr>
        <w:spacing w:before="200" w:after="80"/>
        <w:jc w:val="center"/>
        <w:rPr>
          <w:rFonts w:ascii="Times New Roman" w:hAnsi="Times New Roman" w:cs="Times New Roman"/>
          <w:b/>
          <w:bCs/>
          <w:color w:val="000000" w:themeColor="text1"/>
          <w:sz w:val="40"/>
          <w:szCs w:val="40"/>
        </w:rPr>
      </w:pPr>
      <w:r>
        <w:rPr>
          <w:rFonts w:ascii="Times New Roman" w:hAnsi="Times New Roman" w:cs="Times New Roman"/>
          <w:b/>
          <w:bCs/>
          <w:noProof/>
          <w:color w:val="000000" w:themeColor="text1"/>
          <w:sz w:val="40"/>
          <w:szCs w:val="40"/>
        </w:rPr>
        <w:drawing>
          <wp:anchor distT="0" distB="0" distL="114300" distR="114300" simplePos="0" relativeHeight="251658240" behindDoc="0" locked="0" layoutInCell="1" allowOverlap="1" wp14:anchorId="60637274" wp14:editId="3EC8CB21">
            <wp:simplePos x="0" y="0"/>
            <wp:positionH relativeFrom="margin">
              <wp:align>center</wp:align>
            </wp:positionH>
            <wp:positionV relativeFrom="margin">
              <wp:posOffset>247650</wp:posOffset>
            </wp:positionV>
            <wp:extent cx="1114425" cy="1396523"/>
            <wp:effectExtent l="0" t="0" r="0" b="0"/>
            <wp:wrapSquare wrapText="bothSides"/>
            <wp:docPr id="4741305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4425" cy="1396523"/>
                    </a:xfrm>
                    <a:prstGeom prst="rect">
                      <a:avLst/>
                    </a:prstGeom>
                    <a:noFill/>
                  </pic:spPr>
                </pic:pic>
              </a:graphicData>
            </a:graphic>
          </wp:anchor>
        </w:drawing>
      </w:r>
    </w:p>
    <w:p w14:paraId="73E430B0" w14:textId="77777777" w:rsidR="000A209A" w:rsidRDefault="000A209A">
      <w:pPr>
        <w:spacing w:before="200" w:after="80"/>
        <w:jc w:val="center"/>
        <w:rPr>
          <w:rFonts w:ascii="Times New Roman" w:hAnsi="Times New Roman" w:cs="Times New Roman"/>
          <w:b/>
          <w:bCs/>
          <w:color w:val="000000" w:themeColor="text1"/>
          <w:sz w:val="40"/>
          <w:szCs w:val="40"/>
        </w:rPr>
      </w:pPr>
    </w:p>
    <w:p w14:paraId="4A513710" w14:textId="77777777" w:rsidR="000A209A" w:rsidRDefault="000A209A">
      <w:pPr>
        <w:spacing w:before="200" w:after="80"/>
        <w:jc w:val="center"/>
        <w:rPr>
          <w:rFonts w:ascii="Times New Roman" w:hAnsi="Times New Roman" w:cs="Times New Roman"/>
          <w:b/>
          <w:bCs/>
          <w:color w:val="000000" w:themeColor="text1"/>
          <w:sz w:val="40"/>
          <w:szCs w:val="40"/>
        </w:rPr>
      </w:pPr>
    </w:p>
    <w:p w14:paraId="0FA071D9" w14:textId="77777777" w:rsidR="000A209A" w:rsidRDefault="000A209A" w:rsidP="000A209A">
      <w:pPr>
        <w:spacing w:before="60" w:after="100"/>
        <w:jc w:val="center"/>
        <w:rPr>
          <w:rFonts w:ascii="Times New Roman" w:hAnsi="Times New Roman" w:cs="Times New Roman"/>
          <w:b/>
          <w:bCs/>
          <w:color w:val="000000" w:themeColor="text1"/>
          <w:sz w:val="28"/>
          <w:szCs w:val="28"/>
        </w:rPr>
      </w:pPr>
    </w:p>
    <w:p w14:paraId="28A377A4" w14:textId="2349D7B3" w:rsidR="000A209A" w:rsidRPr="000A209A" w:rsidRDefault="000A209A" w:rsidP="000A209A">
      <w:pPr>
        <w:spacing w:before="60" w:after="100"/>
        <w:jc w:val="center"/>
        <w:rPr>
          <w:rFonts w:ascii="Times New Roman" w:hAnsi="Times New Roman" w:cs="Times New Roman"/>
          <w:b/>
          <w:bCs/>
          <w:color w:val="000000" w:themeColor="text1"/>
          <w:sz w:val="36"/>
          <w:szCs w:val="36"/>
        </w:rPr>
      </w:pPr>
      <w:r w:rsidRPr="000A209A">
        <w:rPr>
          <w:rFonts w:ascii="Times New Roman" w:hAnsi="Times New Roman" w:cs="Times New Roman"/>
          <w:b/>
          <w:bCs/>
          <w:color w:val="000000" w:themeColor="text1"/>
          <w:sz w:val="36"/>
          <w:szCs w:val="36"/>
        </w:rPr>
        <w:t xml:space="preserve">COMUNE DI CASTAGNOLE MONFERRATO </w:t>
      </w:r>
    </w:p>
    <w:p w14:paraId="458AEB3F" w14:textId="62E4C05F" w:rsidR="000A209A" w:rsidRDefault="000A209A" w:rsidP="000A209A">
      <w:pPr>
        <w:spacing w:before="60" w:after="100"/>
        <w:jc w:val="center"/>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PROVINCIA DI ASTI</w:t>
      </w:r>
    </w:p>
    <w:p w14:paraId="4425031D" w14:textId="77777777" w:rsidR="000A209A" w:rsidRPr="000A209A" w:rsidRDefault="000A209A" w:rsidP="000A209A">
      <w:pPr>
        <w:spacing w:before="60" w:after="100"/>
        <w:jc w:val="center"/>
        <w:rPr>
          <w:rFonts w:ascii="Times New Roman" w:hAnsi="Times New Roman" w:cs="Times New Roman"/>
          <w:color w:val="000000" w:themeColor="text1"/>
          <w:sz w:val="22"/>
          <w:szCs w:val="22"/>
        </w:rPr>
      </w:pPr>
    </w:p>
    <w:p w14:paraId="577DCA12" w14:textId="541505C3" w:rsidR="001C133A" w:rsidRPr="000A209A" w:rsidRDefault="00000000">
      <w:pPr>
        <w:spacing w:before="200" w:after="80"/>
        <w:jc w:val="center"/>
        <w:rPr>
          <w:rFonts w:ascii="Times New Roman" w:hAnsi="Times New Roman" w:cs="Times New Roman"/>
          <w:color w:val="000000" w:themeColor="text1"/>
        </w:rPr>
      </w:pPr>
      <w:r w:rsidRPr="000A209A">
        <w:rPr>
          <w:rFonts w:ascii="Times New Roman" w:hAnsi="Times New Roman" w:cs="Times New Roman"/>
          <w:b/>
          <w:bCs/>
          <w:color w:val="000000" w:themeColor="text1"/>
          <w:sz w:val="40"/>
          <w:szCs w:val="40"/>
        </w:rPr>
        <w:t>AVVISO PUBBLICO</w:t>
      </w:r>
    </w:p>
    <w:p w14:paraId="0FBE03A9" w14:textId="24683F04" w:rsidR="001C133A" w:rsidRPr="000A209A" w:rsidRDefault="00000000" w:rsidP="00127FEF">
      <w:pPr>
        <w:pStyle w:val="Titolo1"/>
        <w:spacing w:before="300" w:after="140"/>
        <w:jc w:val="center"/>
        <w:rPr>
          <w:rFonts w:ascii="Times New Roman" w:hAnsi="Times New Roman" w:cs="Times New Roman"/>
          <w:b/>
          <w:bCs/>
          <w:i/>
          <w:iCs/>
          <w:color w:val="000000" w:themeColor="text1"/>
          <w:sz w:val="36"/>
          <w:szCs w:val="36"/>
        </w:rPr>
      </w:pPr>
      <w:r w:rsidRPr="000A209A">
        <w:rPr>
          <w:rFonts w:ascii="Times New Roman" w:hAnsi="Times New Roman" w:cs="Times New Roman"/>
          <w:b/>
          <w:bCs/>
          <w:i/>
          <w:iCs/>
          <w:color w:val="000000" w:themeColor="text1"/>
          <w:sz w:val="28"/>
          <w:szCs w:val="28"/>
        </w:rPr>
        <w:t>per l'individuazione di un'associazione o società sportiva dilettantistica cui affidare l'organizzazione tecnica della manifestazione podistica "Ecomaratona del Ruché" — edizione 2027</w:t>
      </w:r>
    </w:p>
    <w:p w14:paraId="006ECCFD" w14:textId="2C01707C" w:rsidR="001C133A" w:rsidRPr="000A209A" w:rsidRDefault="00000000" w:rsidP="00127FEF">
      <w:pPr>
        <w:spacing w:before="60" w:after="100"/>
        <w:jc w:val="center"/>
        <w:rPr>
          <w:rFonts w:ascii="Times New Roman" w:hAnsi="Times New Roman" w:cs="Times New Roman"/>
          <w:color w:val="000000" w:themeColor="text1"/>
          <w:sz w:val="22"/>
          <w:szCs w:val="22"/>
        </w:rPr>
      </w:pPr>
      <w:r w:rsidRPr="000A209A">
        <w:rPr>
          <w:rFonts w:ascii="Times New Roman" w:hAnsi="Times New Roman" w:cs="Times New Roman"/>
          <w:i/>
          <w:iCs/>
          <w:color w:val="000000" w:themeColor="text1"/>
          <w:sz w:val="22"/>
          <w:szCs w:val="22"/>
        </w:rPr>
        <w:t>Comune capofila dell'accordo tra pubbliche amministrazioni ex art. 15 della legge 241/1990 stipulato con i Comuni di Portacomaro, Scurzolengo, Refrancore, Viarigi, Grana Monferrato e Montemagno Monferrato</w:t>
      </w:r>
    </w:p>
    <w:p w14:paraId="40F1B297" w14:textId="2EB9E556" w:rsidR="000A209A" w:rsidRDefault="000A209A">
      <w:pPr>
        <w:pStyle w:val="Titolo1"/>
        <w:spacing w:before="300" w:after="140"/>
        <w:rPr>
          <w:rFonts w:ascii="Times New Roman" w:hAnsi="Times New Roman" w:cs="Times New Roman"/>
          <w:b/>
          <w:bCs/>
          <w:color w:val="000000" w:themeColor="text1"/>
          <w:sz w:val="24"/>
          <w:szCs w:val="24"/>
        </w:rPr>
      </w:pPr>
    </w:p>
    <w:p w14:paraId="545BDFAF" w14:textId="2C8B122A"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Premesse e quadro di riferimento</w:t>
      </w:r>
    </w:p>
    <w:p w14:paraId="63A125B2" w14:textId="544C2435"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Il Comune di Castagnole Monferrato, unitamente ai Comuni di Portacomaro, Scurzolengo, Refrancore, Viarigi, Grana Monferrato e Montemagno Monferrato, intende promuovere e sostenere, in forma coordinata, una manifestazione podistica di corsa su strada e su percorso misto denominata </w:t>
      </w:r>
      <w:r w:rsidRPr="000A209A">
        <w:rPr>
          <w:rFonts w:ascii="Times New Roman" w:hAnsi="Times New Roman" w:cs="Times New Roman"/>
          <w:b/>
          <w:bCs/>
          <w:color w:val="000000" w:themeColor="text1"/>
          <w:sz w:val="22"/>
          <w:szCs w:val="22"/>
        </w:rPr>
        <w:t>"Ecomaratona del Ruché"</w:t>
      </w:r>
      <w:r w:rsidRPr="000A209A">
        <w:rPr>
          <w:rFonts w:ascii="Times New Roman" w:hAnsi="Times New Roman" w:cs="Times New Roman"/>
          <w:color w:val="000000" w:themeColor="text1"/>
          <w:sz w:val="22"/>
          <w:szCs w:val="22"/>
        </w:rPr>
        <w:t>, il cui tracciato attraversa i sette territori comunali, con l'obiettivo di valorizzare il territorio del Monferrato astigiano, la denominazione di origine "Ruché di Castagnole Monferrato DOCG", il turismo e l'enogastronomia locale, sul modello di eventi consolidati come l'Ecomaratona del Barbaresco e del Tartufo Bianco d'Alba.</w:t>
      </w:r>
    </w:p>
    <w:p w14:paraId="383017CC"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A tal fine i sette Comuni hanno stipulato un </w:t>
      </w:r>
      <w:r w:rsidRPr="000A209A">
        <w:rPr>
          <w:rFonts w:ascii="Times New Roman" w:hAnsi="Times New Roman" w:cs="Times New Roman"/>
          <w:b/>
          <w:bCs/>
          <w:color w:val="000000" w:themeColor="text1"/>
          <w:sz w:val="22"/>
          <w:szCs w:val="22"/>
        </w:rPr>
        <w:t>accordo tra pubbliche amministrazioni ai sensi dell'art. 15 della legge 7 agosto 1990, n. 241</w:t>
      </w:r>
      <w:r w:rsidRPr="000A209A">
        <w:rPr>
          <w:rFonts w:ascii="Times New Roman" w:hAnsi="Times New Roman" w:cs="Times New Roman"/>
          <w:color w:val="000000" w:themeColor="text1"/>
          <w:sz w:val="22"/>
          <w:szCs w:val="22"/>
        </w:rPr>
        <w:t>, individuando nel Comune di Castagnole Monferrato il Comune capofila del progetto, cui compete, tra l'altro, l'individuazione del soggetto organizzatore mediante procedura ad evidenza pubblica.</w:t>
      </w:r>
    </w:p>
    <w:p w14:paraId="280DC9CC"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L'organizzazione tecnica di una competizione podistica su strada esula dalle competenze e dalla struttura operativa dei Comuni e deve essere affidata a un soggetto sportivo qualificato: resta in capo alle Amministrazioni il solo sostegno istituzionale ed economico, il coordinamento e gli adempimenti autorizzatori di rispettiva competenza, mentre la titolarità dell'evento sportivo, con i relativi rischi organizzativi ed economici, fa capo all'organizzatore individuato con il presente Avviso.</w:t>
      </w:r>
    </w:p>
    <w:p w14:paraId="34036509"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La presente procedura </w:t>
      </w:r>
      <w:r w:rsidRPr="000A209A">
        <w:rPr>
          <w:rFonts w:ascii="Times New Roman" w:hAnsi="Times New Roman" w:cs="Times New Roman"/>
          <w:b/>
          <w:bCs/>
          <w:color w:val="000000" w:themeColor="text1"/>
          <w:sz w:val="22"/>
          <w:szCs w:val="22"/>
        </w:rPr>
        <w:t>non costituisce affidamento di un appalto né concessione di servizi</w:t>
      </w:r>
      <w:r w:rsidRPr="000A209A">
        <w:rPr>
          <w:rFonts w:ascii="Times New Roman" w:hAnsi="Times New Roman" w:cs="Times New Roman"/>
          <w:color w:val="000000" w:themeColor="text1"/>
          <w:sz w:val="22"/>
          <w:szCs w:val="22"/>
        </w:rPr>
        <w:t>: non vi è alcuna prestazione di servizi resa in favore dell'Amministrazione a fronte di un corrispettivo, bensì il sostegno, mediante contributo, a un'iniziativa di interesse pubblico organizzata da un soggetto terzo, in attuazione del principio di sussidiarietà orizzontale di cui all'art. 118, quarto comma, della Costituzione e all'art. 13 del D.Lgs. 18 agosto 2000, n. 267. La procedura è nondimeno svolta nel rispetto dei principi di trasparenza, pubblicità, imparzialità, parità di trattamento, proporzionalità e non discriminazione, mutuati anche, in quanto compatibili e per quanto di ragione, dal D.Lgs. 31 marzo 2023, n. 36.</w:t>
      </w:r>
    </w:p>
    <w:p w14:paraId="0147E084"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sz w:val="22"/>
          <w:szCs w:val="22"/>
        </w:rPr>
        <w:lastRenderedPageBreak/>
        <w:t>RICHIAMATI</w:t>
      </w:r>
      <w:r w:rsidRPr="000A209A">
        <w:rPr>
          <w:rFonts w:ascii="Times New Roman" w:hAnsi="Times New Roman" w:cs="Times New Roman"/>
          <w:color w:val="000000" w:themeColor="text1"/>
          <w:sz w:val="22"/>
          <w:szCs w:val="22"/>
        </w:rPr>
        <w:t>, per quanto di ragione:</w:t>
      </w:r>
    </w:p>
    <w:p w14:paraId="3D7CDE0D" w14:textId="77777777" w:rsidR="001C133A" w:rsidRPr="000A209A" w:rsidRDefault="00000000" w:rsidP="00127FEF">
      <w:pPr>
        <w:pStyle w:val="Paragrafoelenco"/>
        <w:numPr>
          <w:ilvl w:val="0"/>
          <w:numId w:val="1"/>
        </w:numPr>
        <w:spacing w:before="40" w:after="4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l'art. 118, quarto comma, della Costituzione e l'art. 13 del D.Lgs. 267/2000;</w:t>
      </w:r>
    </w:p>
    <w:p w14:paraId="7A5F781B" w14:textId="77777777" w:rsidR="001C133A" w:rsidRPr="000A209A" w:rsidRDefault="00000000" w:rsidP="00127FEF">
      <w:pPr>
        <w:pStyle w:val="Paragrafoelenco"/>
        <w:numPr>
          <w:ilvl w:val="0"/>
          <w:numId w:val="1"/>
        </w:numPr>
        <w:spacing w:before="40" w:after="4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l'art. 12 della legge 7 agosto 1990, n. 241, in materia di predeterminazione dei criteri per la concessione di vantaggi economici, e gli artt. 26 e 27 del D.Lgs. 14 marzo 2013, n. 33, in materia di trasparenza;</w:t>
      </w:r>
    </w:p>
    <w:p w14:paraId="3B8F91E1" w14:textId="77777777" w:rsidR="001C133A" w:rsidRPr="000A209A" w:rsidRDefault="00000000" w:rsidP="00127FEF">
      <w:pPr>
        <w:pStyle w:val="Paragrafoelenco"/>
        <w:numPr>
          <w:ilvl w:val="0"/>
          <w:numId w:val="1"/>
        </w:numPr>
        <w:spacing w:before="40" w:after="4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il D.Lgs. 28 febbraio 2021, n. 36 (riordino dell'ordinamento sportivo) e il D.Lgs. 28 febbraio 2021, n. 39, istitutivo del Registro nazionale delle attività sportive dilettantistiche (RASD);</w:t>
      </w:r>
    </w:p>
    <w:p w14:paraId="0DDC3823" w14:textId="77777777" w:rsidR="001C133A" w:rsidRPr="000A209A" w:rsidRDefault="00000000" w:rsidP="00127FEF">
      <w:pPr>
        <w:pStyle w:val="Paragrafoelenco"/>
        <w:numPr>
          <w:ilvl w:val="0"/>
          <w:numId w:val="1"/>
        </w:numPr>
        <w:spacing w:before="40" w:after="4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il D.Lgs. 30 aprile 1992, n. 285 (Codice della Strada), in particolare l'art. 9, e il relativo Regolamento di esecuzione (D.P.R. 495/1992), artt. 360 e seguenti, in materia di competizioni sportive su strada;</w:t>
      </w:r>
    </w:p>
    <w:p w14:paraId="5462508F" w14:textId="77777777" w:rsidR="001C133A" w:rsidRDefault="00000000" w:rsidP="00127FEF">
      <w:pPr>
        <w:pStyle w:val="Paragrafoelenco"/>
        <w:numPr>
          <w:ilvl w:val="0"/>
          <w:numId w:val="1"/>
        </w:numPr>
        <w:spacing w:before="40" w:after="4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l'accordo ex art. 15 della legge 241/1990 tra i sette Comuni, approvato dai rispettivi organi competenti, e la deliberazione della Giunta comunale di Castagnole Monferrato di indirizzo e la conseguente determinazione del Responsabile del Servizio competente.</w:t>
      </w:r>
    </w:p>
    <w:p w14:paraId="21FE4CA2" w14:textId="3E20D020" w:rsidR="0047535D" w:rsidRPr="0047535D" w:rsidRDefault="0047535D" w:rsidP="0047535D">
      <w:pPr>
        <w:pStyle w:val="Paragrafoelenco"/>
        <w:numPr>
          <w:ilvl w:val="0"/>
          <w:numId w:val="1"/>
        </w:numPr>
        <w:spacing w:before="40" w:after="40"/>
        <w:jc w:val="both"/>
        <w:rPr>
          <w:rFonts w:ascii="Times New Roman" w:hAnsi="Times New Roman" w:cs="Times New Roman"/>
          <w:color w:val="000000" w:themeColor="text1"/>
          <w:sz w:val="22"/>
          <w:szCs w:val="22"/>
        </w:rPr>
      </w:pPr>
      <w:r w:rsidRPr="0047535D">
        <w:rPr>
          <w:rFonts w:ascii="Times New Roman" w:hAnsi="Times New Roman" w:cs="Times New Roman"/>
          <w:color w:val="000000" w:themeColor="text1"/>
          <w:sz w:val="22"/>
          <w:szCs w:val="22"/>
        </w:rPr>
        <w:t xml:space="preserve">il Tribunale di Bologna, richiamandosi a una giurisprudenza di legittimità consolidata (tra cui Cass., 28 febbraio 2000, n. 2220), </w:t>
      </w:r>
      <w:r>
        <w:rPr>
          <w:rFonts w:ascii="Times New Roman" w:hAnsi="Times New Roman" w:cs="Times New Roman"/>
          <w:color w:val="000000" w:themeColor="text1"/>
          <w:sz w:val="22"/>
          <w:szCs w:val="22"/>
        </w:rPr>
        <w:t xml:space="preserve">che </w:t>
      </w:r>
      <w:r w:rsidRPr="0047535D">
        <w:rPr>
          <w:rFonts w:ascii="Times New Roman" w:hAnsi="Times New Roman" w:cs="Times New Roman"/>
          <w:color w:val="000000" w:themeColor="text1"/>
          <w:sz w:val="22"/>
          <w:szCs w:val="22"/>
        </w:rPr>
        <w:t>fa rientrare nella nozione «</w:t>
      </w:r>
      <w:r w:rsidRPr="0047535D">
        <w:rPr>
          <w:rFonts w:ascii="Times New Roman" w:hAnsi="Times New Roman" w:cs="Times New Roman"/>
          <w:i/>
          <w:iCs/>
          <w:color w:val="000000" w:themeColor="text1"/>
          <w:sz w:val="22"/>
          <w:szCs w:val="22"/>
        </w:rPr>
        <w:t>giuridicamente rilevante</w:t>
      </w:r>
      <w:r w:rsidRPr="0047535D">
        <w:rPr>
          <w:rFonts w:ascii="Times New Roman" w:hAnsi="Times New Roman" w:cs="Times New Roman"/>
          <w:color w:val="000000" w:themeColor="text1"/>
          <w:sz w:val="22"/>
          <w:szCs w:val="22"/>
        </w:rPr>
        <w:t>» di organizzatore di una manifestazione sportiva:</w:t>
      </w:r>
      <w:r>
        <w:rPr>
          <w:rFonts w:ascii="Times New Roman" w:hAnsi="Times New Roman" w:cs="Times New Roman"/>
          <w:color w:val="000000" w:themeColor="text1"/>
          <w:sz w:val="22"/>
          <w:szCs w:val="22"/>
        </w:rPr>
        <w:t xml:space="preserve"> </w:t>
      </w:r>
      <w:r w:rsidRPr="0047535D">
        <w:rPr>
          <w:rFonts w:ascii="Times New Roman" w:hAnsi="Times New Roman" w:cs="Times New Roman"/>
          <w:color w:val="000000" w:themeColor="text1"/>
          <w:sz w:val="22"/>
          <w:szCs w:val="22"/>
        </w:rPr>
        <w:t>«</w:t>
      </w:r>
      <w:r w:rsidRPr="0047535D">
        <w:rPr>
          <w:rFonts w:ascii="Times New Roman" w:hAnsi="Times New Roman" w:cs="Times New Roman"/>
          <w:i/>
          <w:iCs/>
          <w:color w:val="000000" w:themeColor="text1"/>
          <w:sz w:val="22"/>
          <w:szCs w:val="22"/>
        </w:rPr>
        <w:t>tutti coloro che hanno organizzato o comunque promosso o consentito lo svolgimento di una gara sportiva, esercitando comunque, sul suo svolgimento, potere di controllo e direzione</w:t>
      </w:r>
      <w:r w:rsidRPr="0047535D">
        <w:rPr>
          <w:rFonts w:ascii="Times New Roman" w:hAnsi="Times New Roman" w:cs="Times New Roman"/>
          <w:color w:val="000000" w:themeColor="text1"/>
          <w:sz w:val="22"/>
          <w:szCs w:val="22"/>
        </w:rPr>
        <w:t>» (Trib. Bologna, 17 settembre 2019).</w:t>
      </w:r>
      <w:r>
        <w:rPr>
          <w:rFonts w:ascii="Times New Roman" w:hAnsi="Times New Roman" w:cs="Times New Roman"/>
          <w:color w:val="000000" w:themeColor="text1"/>
          <w:sz w:val="22"/>
          <w:szCs w:val="22"/>
        </w:rPr>
        <w:t xml:space="preserve"> </w:t>
      </w:r>
      <w:r w:rsidRPr="0047535D">
        <w:rPr>
          <w:rFonts w:ascii="Times New Roman" w:hAnsi="Times New Roman" w:cs="Times New Roman"/>
          <w:color w:val="000000" w:themeColor="text1"/>
          <w:sz w:val="22"/>
          <w:szCs w:val="22"/>
        </w:rPr>
        <w:t>Lo stesso Tribunale individua inoltre l'organizzatore come:</w:t>
      </w:r>
      <w:r>
        <w:rPr>
          <w:rFonts w:ascii="Times New Roman" w:hAnsi="Times New Roman" w:cs="Times New Roman"/>
          <w:color w:val="000000" w:themeColor="text1"/>
          <w:sz w:val="22"/>
          <w:szCs w:val="22"/>
        </w:rPr>
        <w:t xml:space="preserve"> </w:t>
      </w:r>
      <w:r w:rsidRPr="0047535D">
        <w:rPr>
          <w:rFonts w:ascii="Times New Roman" w:hAnsi="Times New Roman" w:cs="Times New Roman"/>
          <w:color w:val="000000" w:themeColor="text1"/>
          <w:sz w:val="22"/>
          <w:szCs w:val="22"/>
        </w:rPr>
        <w:t>«</w:t>
      </w:r>
      <w:r w:rsidRPr="0047535D">
        <w:rPr>
          <w:rFonts w:ascii="Times New Roman" w:hAnsi="Times New Roman" w:cs="Times New Roman"/>
          <w:i/>
          <w:iCs/>
          <w:color w:val="000000" w:themeColor="text1"/>
          <w:sz w:val="22"/>
          <w:szCs w:val="22"/>
        </w:rPr>
        <w:t>centro di imputazione delle conseguenze lesive</w:t>
      </w:r>
      <w:r w:rsidRPr="0047535D">
        <w:rPr>
          <w:rFonts w:ascii="Times New Roman" w:hAnsi="Times New Roman" w:cs="Times New Roman"/>
          <w:color w:val="000000" w:themeColor="text1"/>
          <w:sz w:val="22"/>
          <w:szCs w:val="22"/>
        </w:rPr>
        <w:t>» dell'evento sportivo in quanto «</w:t>
      </w:r>
      <w:r w:rsidRPr="0047535D">
        <w:rPr>
          <w:rFonts w:ascii="Times New Roman" w:hAnsi="Times New Roman" w:cs="Times New Roman"/>
          <w:i/>
          <w:iCs/>
          <w:color w:val="000000" w:themeColor="text1"/>
          <w:sz w:val="22"/>
          <w:szCs w:val="22"/>
        </w:rPr>
        <w:t>assumendosene tutte le responsabilità, promuove l'incontro di uno o più atleti con lo scopo di raggiungere un risultato in una o più attività sportive</w:t>
      </w:r>
      <w:r w:rsidRPr="0047535D">
        <w:rPr>
          <w:rFonts w:ascii="Times New Roman" w:hAnsi="Times New Roman" w:cs="Times New Roman"/>
          <w:color w:val="000000" w:themeColor="text1"/>
          <w:sz w:val="22"/>
          <w:szCs w:val="22"/>
        </w:rPr>
        <w:t>» (Trib. Bologna, Sez. III, 17 settembre 2019).</w:t>
      </w:r>
    </w:p>
    <w:p w14:paraId="5AB9607B"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In esecuzione dei citati atti, il Comune di Castagnole Monferrato indice il seguente </w:t>
      </w:r>
      <w:r w:rsidRPr="000A209A">
        <w:rPr>
          <w:rFonts w:ascii="Times New Roman" w:hAnsi="Times New Roman" w:cs="Times New Roman"/>
          <w:b/>
          <w:bCs/>
          <w:color w:val="000000" w:themeColor="text1"/>
          <w:sz w:val="22"/>
          <w:szCs w:val="22"/>
        </w:rPr>
        <w:t>A V V I S O</w:t>
      </w:r>
      <w:r w:rsidRPr="000A209A">
        <w:rPr>
          <w:rFonts w:ascii="Times New Roman" w:hAnsi="Times New Roman" w:cs="Times New Roman"/>
          <w:color w:val="000000" w:themeColor="text1"/>
          <w:sz w:val="22"/>
          <w:szCs w:val="22"/>
        </w:rPr>
        <w:t>.</w:t>
      </w:r>
    </w:p>
    <w:p w14:paraId="14B7230E" w14:textId="77777777" w:rsidR="001C133A" w:rsidRPr="000A209A" w:rsidRDefault="001C133A">
      <w:pPr>
        <w:pBdr>
          <w:bottom w:val="single" w:sz="6" w:space="1" w:color="1F3864"/>
        </w:pBdr>
        <w:spacing w:after="200"/>
        <w:rPr>
          <w:rFonts w:ascii="Times New Roman" w:hAnsi="Times New Roman" w:cs="Times New Roman"/>
          <w:color w:val="000000" w:themeColor="text1"/>
          <w:sz w:val="22"/>
          <w:szCs w:val="22"/>
        </w:rPr>
      </w:pPr>
    </w:p>
    <w:p w14:paraId="50C897CB" w14:textId="77777777"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Art. 1 — Oggetto</w:t>
      </w:r>
    </w:p>
    <w:p w14:paraId="3A741A11"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1.1 Il presente Avviso disciplina la procedura finalizzata a individuare l'associazione sportiva dilettantistica (A.S.D.) o la società sportiva dilettantistica (S.S.D.) cui affidare l'</w:t>
      </w:r>
      <w:r w:rsidRPr="000A209A">
        <w:rPr>
          <w:rFonts w:ascii="Times New Roman" w:hAnsi="Times New Roman" w:cs="Times New Roman"/>
          <w:b/>
          <w:bCs/>
          <w:color w:val="000000" w:themeColor="text1"/>
          <w:sz w:val="22"/>
          <w:szCs w:val="22"/>
        </w:rPr>
        <w:t>organizzazione tecnica, operativa ed economica</w:t>
      </w:r>
      <w:r w:rsidRPr="000A209A">
        <w:rPr>
          <w:rFonts w:ascii="Times New Roman" w:hAnsi="Times New Roman" w:cs="Times New Roman"/>
          <w:color w:val="000000" w:themeColor="text1"/>
          <w:sz w:val="22"/>
          <w:szCs w:val="22"/>
        </w:rPr>
        <w:t xml:space="preserve"> della manifestazione podistica "Ecomaratona del Ruché" — edizione 2027, quale soggetto titolare dell'evento e beneficiario del contributo di cui all'art. 10.</w:t>
      </w:r>
    </w:p>
    <w:p w14:paraId="1318D76B"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1.2 Il soggetto individuato assume in proprio la titolarità della manifestazione e ne cura ogni aspetto tecnico, organizzativo, gestionale ed economico, nei termini indicati all'art. 9, mentre i Comuni assicurano il sostegno economico, il coordinamento istituzionale e gli adempimenti autorizzatori di rispettiva competenza.</w:t>
      </w:r>
    </w:p>
    <w:p w14:paraId="3B0CE429" w14:textId="77777777"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Art. 2 — La manifestazione</w:t>
      </w:r>
    </w:p>
    <w:p w14:paraId="7899CCE3"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2.1 La manifestazione consiste in una corsa su strada e su percorso misto (asfalto, strade bianche e tratti sentieristici), della lunghezza di </w:t>
      </w:r>
      <w:r w:rsidRPr="000A209A">
        <w:rPr>
          <w:rFonts w:ascii="Times New Roman" w:hAnsi="Times New Roman" w:cs="Times New Roman"/>
          <w:b/>
          <w:bCs/>
          <w:color w:val="000000" w:themeColor="text1"/>
          <w:sz w:val="22"/>
          <w:szCs w:val="22"/>
        </w:rPr>
        <w:t>circa 35 chilometri</w:t>
      </w:r>
      <w:r w:rsidRPr="000A209A">
        <w:rPr>
          <w:rFonts w:ascii="Times New Roman" w:hAnsi="Times New Roman" w:cs="Times New Roman"/>
          <w:color w:val="000000" w:themeColor="text1"/>
          <w:sz w:val="22"/>
          <w:szCs w:val="22"/>
        </w:rPr>
        <w:t xml:space="preserve">, con </w:t>
      </w:r>
      <w:r w:rsidRPr="000A209A">
        <w:rPr>
          <w:rFonts w:ascii="Times New Roman" w:hAnsi="Times New Roman" w:cs="Times New Roman"/>
          <w:b/>
          <w:bCs/>
          <w:color w:val="000000" w:themeColor="text1"/>
          <w:sz w:val="22"/>
          <w:szCs w:val="22"/>
        </w:rPr>
        <w:t>partenza da Refrancore e arrivo a Portacomaro</w:t>
      </w:r>
      <w:r w:rsidRPr="000A209A">
        <w:rPr>
          <w:rFonts w:ascii="Times New Roman" w:hAnsi="Times New Roman" w:cs="Times New Roman"/>
          <w:color w:val="000000" w:themeColor="text1"/>
          <w:sz w:val="22"/>
          <w:szCs w:val="22"/>
        </w:rPr>
        <w:t>, secondo il tracciato di massima allegato al presente Avviso, che attraversa nell'ordine i territori dei Comuni di Refrancore, Viarigi, Montemagno Monferrato, Grana Monferrato, Castagnole Monferrato, Scurzolengo e Portacomaro.</w:t>
      </w:r>
    </w:p>
    <w:p w14:paraId="3F56120E"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2.2 La manifestazione è programmata per </w:t>
      </w:r>
      <w:r w:rsidRPr="000A209A">
        <w:rPr>
          <w:rFonts w:ascii="Times New Roman" w:hAnsi="Times New Roman" w:cs="Times New Roman"/>
          <w:b/>
          <w:bCs/>
          <w:color w:val="000000" w:themeColor="text1"/>
          <w:sz w:val="22"/>
          <w:szCs w:val="22"/>
        </w:rPr>
        <w:t>domenica 16 maggio 2027</w:t>
      </w:r>
      <w:r w:rsidRPr="000A209A">
        <w:rPr>
          <w:rFonts w:ascii="Times New Roman" w:hAnsi="Times New Roman" w:cs="Times New Roman"/>
          <w:color w:val="000000" w:themeColor="text1"/>
          <w:sz w:val="22"/>
          <w:szCs w:val="22"/>
        </w:rPr>
        <w:t>. La formula tecnica di dettaglio (distanze, eventuale mezza distanza, staffetta a frazioni con cambi nei centri attraversati, camminate non competitive) è definita dal proponente nella proposta progettuale, ferma restando l'unitarietà del tracciato principale.</w:t>
      </w:r>
    </w:p>
    <w:p w14:paraId="63FF8B02"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2.3 Il tracciato definitivo, comprensivo dell'eventuale misurazione ai fini dell'omologazione, è approvato in via tecnica dall'organizzatore ed è recepito dagli atti di ciascun Comune per la parte di rispettiva competenza.</w:t>
      </w:r>
    </w:p>
    <w:p w14:paraId="5D84C974" w14:textId="77777777"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Art. 3 — Soggetti ammessi e requisiti di ordine generale</w:t>
      </w:r>
    </w:p>
    <w:p w14:paraId="4A315F66"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lastRenderedPageBreak/>
        <w:t>3.1 Possono presentare domanda le associazioni sportive dilettantistiche e le società sportive dilettantistiche, in forma singola o in raggruppamento tra loro, in possesso, alla data di presentazione della domanda, dei requisiti di seguito indicati. In caso di raggruppamento, la domanda è sottoscritta da tutti i legali rappresentanti e i requisiti di idoneità tecnico-organizzativa ed economica di cui all'art. 4 devono essere posseduti in misura maggioritaria dal soggetto capogruppo/mandatario.</w:t>
      </w:r>
    </w:p>
    <w:p w14:paraId="6325BA59"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3.2 Costituiscono requisiti di ordine generale, dichiarati ai sensi del D.P.R. 445/2000:</w:t>
      </w:r>
    </w:p>
    <w:p w14:paraId="396AD08F" w14:textId="77777777" w:rsidR="001C133A" w:rsidRPr="000A209A" w:rsidRDefault="00000000">
      <w:pPr>
        <w:pStyle w:val="Paragrafoelenco"/>
        <w:numPr>
          <w:ilvl w:val="0"/>
          <w:numId w:val="1"/>
        </w:numPr>
        <w:spacing w:before="40" w:after="40"/>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l'insussistenza delle cause di esclusione previste dall'art. 94 del D.Lgs. 36/2023, analogicamente applicato alla presente procedura in quanto compatibile;</w:t>
      </w:r>
    </w:p>
    <w:p w14:paraId="51CFCAD3" w14:textId="77777777" w:rsidR="001C133A" w:rsidRPr="000A209A" w:rsidRDefault="00000000">
      <w:pPr>
        <w:pStyle w:val="Paragrafoelenco"/>
        <w:numPr>
          <w:ilvl w:val="0"/>
          <w:numId w:val="1"/>
        </w:numPr>
        <w:spacing w:before="40" w:after="40"/>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l'insussistenza di situazioni di conflitto di interesse ai sensi della legge 241/1990;</w:t>
      </w:r>
    </w:p>
    <w:p w14:paraId="2BA4E86E" w14:textId="77777777" w:rsidR="001C133A" w:rsidRPr="000A209A" w:rsidRDefault="00000000">
      <w:pPr>
        <w:pStyle w:val="Paragrafoelenco"/>
        <w:numPr>
          <w:ilvl w:val="0"/>
          <w:numId w:val="1"/>
        </w:numPr>
        <w:spacing w:before="40" w:after="40"/>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la regolarità in ordine agli obblighi contributivi, assicurativi e fiscali;</w:t>
      </w:r>
    </w:p>
    <w:p w14:paraId="70758D63" w14:textId="77777777" w:rsidR="001C133A" w:rsidRPr="000A209A" w:rsidRDefault="00000000">
      <w:pPr>
        <w:pStyle w:val="Paragrafoelenco"/>
        <w:numPr>
          <w:ilvl w:val="0"/>
          <w:numId w:val="1"/>
        </w:numPr>
        <w:spacing w:before="40" w:after="40"/>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l'assenza di morosità o contenziosi pendenti con i Comuni aderenti all'accordo.</w:t>
      </w:r>
    </w:p>
    <w:p w14:paraId="68BE0F77" w14:textId="77777777" w:rsidR="001C133A" w:rsidRPr="000A209A" w:rsidRDefault="00000000">
      <w:pPr>
        <w:pStyle w:val="Titolo1"/>
        <w:spacing w:before="300" w:after="140"/>
        <w:rPr>
          <w:rFonts w:ascii="Times New Roman" w:hAnsi="Times New Roman" w:cs="Times New Roman"/>
          <w:color w:val="000000" w:themeColor="text1"/>
          <w:sz w:val="36"/>
          <w:szCs w:val="36"/>
        </w:rPr>
      </w:pPr>
      <w:r w:rsidRPr="000A209A">
        <w:rPr>
          <w:rFonts w:ascii="Times New Roman" w:hAnsi="Times New Roman" w:cs="Times New Roman"/>
          <w:b/>
          <w:bCs/>
          <w:color w:val="000000" w:themeColor="text1"/>
          <w:sz w:val="24"/>
          <w:szCs w:val="24"/>
        </w:rPr>
        <w:t>Art. 4 — Requisiti specifici di partecipazione</w:t>
      </w:r>
    </w:p>
    <w:p w14:paraId="5E6435D9"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Il concorrente deve possedere, e autodichiarare ai sensi del D.P.R. 445/2000, i seguenti requisiti specifici:</w:t>
      </w:r>
    </w:p>
    <w:p w14:paraId="4572BC12"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sz w:val="22"/>
          <w:szCs w:val="22"/>
        </w:rPr>
        <w:t>a) Sede.</w:t>
      </w:r>
      <w:r w:rsidRPr="000A209A">
        <w:rPr>
          <w:rFonts w:ascii="Times New Roman" w:hAnsi="Times New Roman" w:cs="Times New Roman"/>
          <w:color w:val="000000" w:themeColor="text1"/>
          <w:sz w:val="22"/>
          <w:szCs w:val="22"/>
        </w:rPr>
        <w:t xml:space="preserve"> Disporre di sede legale o operativa nel territorio della </w:t>
      </w:r>
      <w:r w:rsidRPr="000A209A">
        <w:rPr>
          <w:rFonts w:ascii="Times New Roman" w:hAnsi="Times New Roman" w:cs="Times New Roman"/>
          <w:b/>
          <w:bCs/>
          <w:color w:val="000000" w:themeColor="text1"/>
          <w:sz w:val="22"/>
          <w:szCs w:val="22"/>
        </w:rPr>
        <w:t>Provincia di Asti</w:t>
      </w:r>
      <w:r w:rsidRPr="000A209A">
        <w:rPr>
          <w:rFonts w:ascii="Times New Roman" w:hAnsi="Times New Roman" w:cs="Times New Roman"/>
          <w:color w:val="000000" w:themeColor="text1"/>
          <w:sz w:val="22"/>
          <w:szCs w:val="22"/>
        </w:rPr>
        <w:t>, ovvero assumere l'impegno formale a istituirvi una sede operativa entro sessanta giorni dalla sottoscrizione del disciplinare, qualora individuato quale organizzatore.</w:t>
      </w:r>
    </w:p>
    <w:p w14:paraId="5DA5CA24"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sz w:val="22"/>
          <w:szCs w:val="22"/>
        </w:rPr>
        <w:t>b) Affiliazione sportiva.</w:t>
      </w:r>
      <w:r w:rsidRPr="000A209A">
        <w:rPr>
          <w:rFonts w:ascii="Times New Roman" w:hAnsi="Times New Roman" w:cs="Times New Roman"/>
          <w:color w:val="000000" w:themeColor="text1"/>
          <w:sz w:val="22"/>
          <w:szCs w:val="22"/>
        </w:rPr>
        <w:t xml:space="preserve"> Essere affiliato a una </w:t>
      </w:r>
      <w:r w:rsidRPr="000A209A">
        <w:rPr>
          <w:rFonts w:ascii="Times New Roman" w:hAnsi="Times New Roman" w:cs="Times New Roman"/>
          <w:b/>
          <w:bCs/>
          <w:color w:val="000000" w:themeColor="text1"/>
          <w:sz w:val="22"/>
          <w:szCs w:val="22"/>
        </w:rPr>
        <w:t>Federazione Sportiva Nazionale (FSN)</w:t>
      </w:r>
      <w:r w:rsidRPr="000A209A">
        <w:rPr>
          <w:rFonts w:ascii="Times New Roman" w:hAnsi="Times New Roman" w:cs="Times New Roman"/>
          <w:color w:val="000000" w:themeColor="text1"/>
          <w:sz w:val="22"/>
          <w:szCs w:val="22"/>
        </w:rPr>
        <w:t xml:space="preserve"> o a un </w:t>
      </w:r>
      <w:r w:rsidRPr="000A209A">
        <w:rPr>
          <w:rFonts w:ascii="Times New Roman" w:hAnsi="Times New Roman" w:cs="Times New Roman"/>
          <w:b/>
          <w:bCs/>
          <w:color w:val="000000" w:themeColor="text1"/>
          <w:sz w:val="22"/>
          <w:szCs w:val="22"/>
        </w:rPr>
        <w:t>Ente di Promozione Sportiva (EPS) riconosciuto dal CONI</w:t>
      </w:r>
      <w:r w:rsidRPr="000A209A">
        <w:rPr>
          <w:rFonts w:ascii="Times New Roman" w:hAnsi="Times New Roman" w:cs="Times New Roman"/>
          <w:color w:val="000000" w:themeColor="text1"/>
          <w:sz w:val="22"/>
          <w:szCs w:val="22"/>
        </w:rPr>
        <w:t>, con affiliazione in corso di validità e comprendente il settore dell'atletica leggera / corsa su strada.</w:t>
      </w:r>
    </w:p>
    <w:p w14:paraId="3C48AB7C"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sz w:val="22"/>
          <w:szCs w:val="22"/>
        </w:rPr>
        <w:t>c) Iscrizione al RASD.</w:t>
      </w:r>
      <w:r w:rsidRPr="000A209A">
        <w:rPr>
          <w:rFonts w:ascii="Times New Roman" w:hAnsi="Times New Roman" w:cs="Times New Roman"/>
          <w:color w:val="000000" w:themeColor="text1"/>
          <w:sz w:val="22"/>
          <w:szCs w:val="22"/>
        </w:rPr>
        <w:t xml:space="preserve"> Essere iscritto al </w:t>
      </w:r>
      <w:r w:rsidRPr="000A209A">
        <w:rPr>
          <w:rFonts w:ascii="Times New Roman" w:hAnsi="Times New Roman" w:cs="Times New Roman"/>
          <w:b/>
          <w:bCs/>
          <w:color w:val="000000" w:themeColor="text1"/>
          <w:sz w:val="22"/>
          <w:szCs w:val="22"/>
        </w:rPr>
        <w:t>Registro nazionale delle attività sportive dilettantistiche (RASD)</w:t>
      </w:r>
      <w:r w:rsidRPr="000A209A">
        <w:rPr>
          <w:rFonts w:ascii="Times New Roman" w:hAnsi="Times New Roman" w:cs="Times New Roman"/>
          <w:color w:val="000000" w:themeColor="text1"/>
          <w:sz w:val="22"/>
          <w:szCs w:val="22"/>
        </w:rPr>
        <w:t xml:space="preserve"> di cui al D.Lgs. 39/2021, da almeno </w:t>
      </w:r>
      <w:r w:rsidRPr="000A209A">
        <w:rPr>
          <w:rFonts w:ascii="Times New Roman" w:hAnsi="Times New Roman" w:cs="Times New Roman"/>
          <w:b/>
          <w:bCs/>
          <w:color w:val="000000" w:themeColor="text1"/>
          <w:sz w:val="22"/>
          <w:szCs w:val="22"/>
        </w:rPr>
        <w:t>dodici mesi</w:t>
      </w:r>
      <w:r w:rsidRPr="000A209A">
        <w:rPr>
          <w:rFonts w:ascii="Times New Roman" w:hAnsi="Times New Roman" w:cs="Times New Roman"/>
          <w:color w:val="000000" w:themeColor="text1"/>
          <w:sz w:val="22"/>
          <w:szCs w:val="22"/>
        </w:rPr>
        <w:t xml:space="preserve"> alla data di presentazione della domanda. Il possesso di tale requisito esclude l'operatività del divieto di cui all'art. 4, comma 6, del D.L. 95/2012 (conv. L. 135/2012) e costituisce presupposto per l'erogazione del contributo.</w:t>
      </w:r>
    </w:p>
    <w:p w14:paraId="4AE776CF" w14:textId="4515F75B"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sz w:val="22"/>
          <w:szCs w:val="22"/>
        </w:rPr>
        <w:t>d) Requisito dimensionale.</w:t>
      </w:r>
      <w:r w:rsidRPr="000A209A">
        <w:rPr>
          <w:rFonts w:ascii="Times New Roman" w:hAnsi="Times New Roman" w:cs="Times New Roman"/>
          <w:color w:val="000000" w:themeColor="text1"/>
          <w:sz w:val="22"/>
          <w:szCs w:val="22"/>
        </w:rPr>
        <w:t xml:space="preserve"> Contare, all'ultimo tesseramento utile, un numero di associati/tesserati </w:t>
      </w:r>
      <w:r w:rsidR="00772FD3">
        <w:rPr>
          <w:rFonts w:ascii="Times New Roman" w:hAnsi="Times New Roman" w:cs="Times New Roman"/>
          <w:color w:val="000000" w:themeColor="text1"/>
          <w:sz w:val="22"/>
          <w:szCs w:val="22"/>
        </w:rPr>
        <w:t xml:space="preserve">agonistici e/o praticanti </w:t>
      </w:r>
      <w:r w:rsidRPr="000A209A">
        <w:rPr>
          <w:rFonts w:ascii="Times New Roman" w:hAnsi="Times New Roman" w:cs="Times New Roman"/>
          <w:color w:val="000000" w:themeColor="text1"/>
          <w:sz w:val="22"/>
          <w:szCs w:val="22"/>
        </w:rPr>
        <w:t xml:space="preserve">non inferiore a </w:t>
      </w:r>
      <w:r w:rsidRPr="000A209A">
        <w:rPr>
          <w:rFonts w:ascii="Times New Roman" w:hAnsi="Times New Roman" w:cs="Times New Roman"/>
          <w:b/>
          <w:bCs/>
          <w:color w:val="000000" w:themeColor="text1"/>
          <w:sz w:val="22"/>
          <w:szCs w:val="22"/>
        </w:rPr>
        <w:t>cinquanta (50)</w:t>
      </w:r>
      <w:r w:rsidRPr="000A209A">
        <w:rPr>
          <w:rFonts w:ascii="Times New Roman" w:hAnsi="Times New Roman" w:cs="Times New Roman"/>
          <w:color w:val="000000" w:themeColor="text1"/>
          <w:sz w:val="22"/>
          <w:szCs w:val="22"/>
        </w:rPr>
        <w:t>. In caso di raggruppamento, il requisito è riferito al complesso dei componenti.</w:t>
      </w:r>
    </w:p>
    <w:p w14:paraId="2CC5B6F8" w14:textId="28B60E26"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sz w:val="22"/>
          <w:szCs w:val="22"/>
        </w:rPr>
        <w:t>e) Esperienza organizzativa.</w:t>
      </w:r>
      <w:r w:rsidRPr="000A209A">
        <w:rPr>
          <w:rFonts w:ascii="Times New Roman" w:hAnsi="Times New Roman" w:cs="Times New Roman"/>
          <w:color w:val="000000" w:themeColor="text1"/>
          <w:sz w:val="22"/>
          <w:szCs w:val="22"/>
        </w:rPr>
        <w:t xml:space="preserve"> Aver organizzato direttamente, nel triennio precedente (anni 2024-2025-2026), almeno </w:t>
      </w:r>
      <w:r w:rsidR="00127FEF" w:rsidRPr="000A209A">
        <w:rPr>
          <w:rFonts w:ascii="Times New Roman" w:hAnsi="Times New Roman" w:cs="Times New Roman"/>
          <w:b/>
          <w:bCs/>
          <w:color w:val="000000" w:themeColor="text1"/>
          <w:sz w:val="22"/>
          <w:szCs w:val="22"/>
        </w:rPr>
        <w:t>due</w:t>
      </w:r>
      <w:r w:rsidRPr="000A209A">
        <w:rPr>
          <w:rFonts w:ascii="Times New Roman" w:hAnsi="Times New Roman" w:cs="Times New Roman"/>
          <w:b/>
          <w:bCs/>
          <w:color w:val="000000" w:themeColor="text1"/>
          <w:sz w:val="22"/>
          <w:szCs w:val="22"/>
        </w:rPr>
        <w:t xml:space="preserve"> manifestazioni podistiche di corsa su strada o di trail</w:t>
      </w:r>
      <w:r w:rsidRPr="000A209A">
        <w:rPr>
          <w:rFonts w:ascii="Times New Roman" w:hAnsi="Times New Roman" w:cs="Times New Roman"/>
          <w:color w:val="000000" w:themeColor="text1"/>
          <w:sz w:val="22"/>
          <w:szCs w:val="22"/>
        </w:rPr>
        <w:t xml:space="preserve"> inserite in calendario federale (FIDAL) o di Ente di Promozione Sportiva, di cui </w:t>
      </w:r>
      <w:r w:rsidRPr="000A209A">
        <w:rPr>
          <w:rFonts w:ascii="Times New Roman" w:hAnsi="Times New Roman" w:cs="Times New Roman"/>
          <w:b/>
          <w:bCs/>
          <w:color w:val="000000" w:themeColor="text1"/>
          <w:sz w:val="22"/>
          <w:szCs w:val="22"/>
        </w:rPr>
        <w:t>almeno una con non meno di cento (</w:t>
      </w:r>
      <w:r w:rsidR="00127FEF" w:rsidRPr="000A209A">
        <w:rPr>
          <w:rFonts w:ascii="Times New Roman" w:hAnsi="Times New Roman" w:cs="Times New Roman"/>
          <w:b/>
          <w:bCs/>
          <w:color w:val="000000" w:themeColor="text1"/>
          <w:sz w:val="22"/>
          <w:szCs w:val="22"/>
        </w:rPr>
        <w:t>1</w:t>
      </w:r>
      <w:r w:rsidRPr="000A209A">
        <w:rPr>
          <w:rFonts w:ascii="Times New Roman" w:hAnsi="Times New Roman" w:cs="Times New Roman"/>
          <w:b/>
          <w:bCs/>
          <w:color w:val="000000" w:themeColor="text1"/>
          <w:sz w:val="22"/>
          <w:szCs w:val="22"/>
        </w:rPr>
        <w:t>00) concorrenti classificati</w:t>
      </w:r>
      <w:r w:rsidRPr="000A209A">
        <w:rPr>
          <w:rFonts w:ascii="Times New Roman" w:hAnsi="Times New Roman" w:cs="Times New Roman"/>
          <w:color w:val="000000" w:themeColor="text1"/>
          <w:sz w:val="22"/>
          <w:szCs w:val="22"/>
        </w:rPr>
        <w:t>. L'esperienza è documentata mediante elenco delle manifestazioni, con indicazione di data, luogo, distanza, numero di iscritti e organismo sportivo di riferimento.</w:t>
      </w:r>
    </w:p>
    <w:p w14:paraId="380924C8" w14:textId="1E40E1B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sz w:val="22"/>
          <w:szCs w:val="22"/>
        </w:rPr>
        <w:t>f) Capacità economico-finanziaria.</w:t>
      </w:r>
      <w:r w:rsidRPr="000A209A">
        <w:rPr>
          <w:rFonts w:ascii="Times New Roman" w:hAnsi="Times New Roman" w:cs="Times New Roman"/>
          <w:color w:val="000000" w:themeColor="text1"/>
          <w:sz w:val="22"/>
          <w:szCs w:val="22"/>
        </w:rPr>
        <w:t xml:space="preserve"> Aver realizzato, nell'ultimo triennio (anni 2023-2024-2025), </w:t>
      </w:r>
      <w:r w:rsidRPr="000A209A">
        <w:rPr>
          <w:rFonts w:ascii="Times New Roman" w:hAnsi="Times New Roman" w:cs="Times New Roman"/>
          <w:b/>
          <w:bCs/>
          <w:color w:val="000000" w:themeColor="text1"/>
          <w:sz w:val="22"/>
          <w:szCs w:val="22"/>
        </w:rPr>
        <w:t xml:space="preserve">proventi complessivi medi annui non inferiori a € </w:t>
      </w:r>
      <w:r w:rsidR="00772FD3">
        <w:rPr>
          <w:rFonts w:ascii="Times New Roman" w:hAnsi="Times New Roman" w:cs="Times New Roman"/>
          <w:b/>
          <w:bCs/>
          <w:color w:val="000000" w:themeColor="text1"/>
          <w:sz w:val="22"/>
          <w:szCs w:val="22"/>
        </w:rPr>
        <w:t>5</w:t>
      </w:r>
      <w:r w:rsidRPr="000A209A">
        <w:rPr>
          <w:rFonts w:ascii="Times New Roman" w:hAnsi="Times New Roman" w:cs="Times New Roman"/>
          <w:b/>
          <w:bCs/>
          <w:color w:val="000000" w:themeColor="text1"/>
          <w:sz w:val="22"/>
          <w:szCs w:val="22"/>
        </w:rPr>
        <w:t>0.000,00</w:t>
      </w:r>
      <w:r w:rsidRPr="000A209A">
        <w:rPr>
          <w:rFonts w:ascii="Times New Roman" w:hAnsi="Times New Roman" w:cs="Times New Roman"/>
          <w:color w:val="000000" w:themeColor="text1"/>
          <w:sz w:val="22"/>
          <w:szCs w:val="22"/>
        </w:rPr>
        <w:t>, quali risultanti dai rendiconti/bilanci approvati. In caso di raggruppamento, il requisito è riferito al complesso dei componenti e il capogruppo deve assicurarne almeno il 50%.</w:t>
      </w:r>
    </w:p>
    <w:p w14:paraId="51D4DA95"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sz w:val="22"/>
          <w:szCs w:val="22"/>
        </w:rPr>
        <w:t>g) Capacità tecnico-organizzativa.</w:t>
      </w:r>
      <w:r w:rsidRPr="000A209A">
        <w:rPr>
          <w:rFonts w:ascii="Times New Roman" w:hAnsi="Times New Roman" w:cs="Times New Roman"/>
          <w:color w:val="000000" w:themeColor="text1"/>
          <w:sz w:val="22"/>
          <w:szCs w:val="22"/>
        </w:rPr>
        <w:t xml:space="preserve"> Disporre, direttamente o mediante rapporti già strutturati, delle competenze e delle dotazioni necessarie allo svolgimento della manifestazione, con particolare riguardo al cronometraggio, ai rapporti con il Gruppo Giudici Gare, alla segnaletica e al presidio di percorso, alla rete di volontariato.</w:t>
      </w:r>
    </w:p>
    <w:p w14:paraId="6DD25C5E" w14:textId="77777777"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Art. 5 — Obbligo di risultato: inserimento in calendario FIDAL</w:t>
      </w:r>
    </w:p>
    <w:p w14:paraId="3A2E84F9"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5.1 A pena di risoluzione del rapporto e di restituzione delle somme eventualmente erogate, l'organizzatore individuato deve </w:t>
      </w:r>
      <w:r w:rsidRPr="000A209A">
        <w:rPr>
          <w:rFonts w:ascii="Times New Roman" w:hAnsi="Times New Roman" w:cs="Times New Roman"/>
          <w:b/>
          <w:bCs/>
          <w:color w:val="000000" w:themeColor="text1"/>
          <w:sz w:val="22"/>
          <w:szCs w:val="22"/>
        </w:rPr>
        <w:t>garantire l'inserimento della manifestazione nel calendario FIDAL 2027</w:t>
      </w:r>
      <w:r w:rsidRPr="000A209A">
        <w:rPr>
          <w:rFonts w:ascii="Times New Roman" w:hAnsi="Times New Roman" w:cs="Times New Roman"/>
          <w:color w:val="000000" w:themeColor="text1"/>
          <w:sz w:val="22"/>
          <w:szCs w:val="22"/>
        </w:rPr>
        <w:t>, curando a propria cura e spese tutti gli adempimenti federali connessi (affiliazione e tesseramenti, misurazione e omologazione del percorso, richiesta di inserimento in calendario tramite il Comitato Regionale FIDAL Piemonte nei termini federali, tassa di approvazione gara, designazione del Gruppo Giudici Gare e cronometraggio).</w:t>
      </w:r>
    </w:p>
    <w:p w14:paraId="25B023FE"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lastRenderedPageBreak/>
        <w:t xml:space="preserve">5.2 L'obbligo può essere assolto con qualunque modalità ammessa dall'ordinamento sportivo — affiliazione FIDAL propria, doppia affiliazione, ovvero titolarità in capo a società affiliata FIDAL avvalendosi di comitato organizzatore o società di servizi — nel rispetto della convenzione FIDAL–Enti di Promozione Sportiva pro tempore vigente. L'avvenuto inserimento in calendario è documentato al Comune capofila entro il </w:t>
      </w:r>
      <w:r w:rsidRPr="000A209A">
        <w:rPr>
          <w:rFonts w:ascii="Times New Roman" w:hAnsi="Times New Roman" w:cs="Times New Roman"/>
          <w:b/>
          <w:bCs/>
          <w:color w:val="000000" w:themeColor="text1"/>
          <w:sz w:val="22"/>
          <w:szCs w:val="22"/>
        </w:rPr>
        <w:t>31 gennaio 2027</w:t>
      </w:r>
      <w:r w:rsidRPr="000A209A">
        <w:rPr>
          <w:rFonts w:ascii="Times New Roman" w:hAnsi="Times New Roman" w:cs="Times New Roman"/>
          <w:color w:val="000000" w:themeColor="text1"/>
          <w:sz w:val="22"/>
          <w:szCs w:val="22"/>
        </w:rPr>
        <w:t>.</w:t>
      </w:r>
    </w:p>
    <w:p w14:paraId="71619173" w14:textId="77777777"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Art. 6 — Proposta progettuale</w:t>
      </w:r>
    </w:p>
    <w:p w14:paraId="4715E23C" w14:textId="76A7F6FE"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6.1 A pena di esclusione, il concorrente presenta una</w:t>
      </w:r>
      <w:r w:rsidR="000A209A">
        <w:rPr>
          <w:rFonts w:ascii="Times New Roman" w:hAnsi="Times New Roman" w:cs="Times New Roman"/>
          <w:color w:val="000000" w:themeColor="text1"/>
          <w:sz w:val="22"/>
          <w:szCs w:val="22"/>
        </w:rPr>
        <w:t xml:space="preserve"> sintetica</w:t>
      </w:r>
      <w:r w:rsidRPr="000A209A">
        <w:rPr>
          <w:rFonts w:ascii="Times New Roman" w:hAnsi="Times New Roman" w:cs="Times New Roman"/>
          <w:color w:val="000000" w:themeColor="text1"/>
          <w:sz w:val="22"/>
          <w:szCs w:val="22"/>
        </w:rPr>
        <w:t xml:space="preserve"> </w:t>
      </w:r>
      <w:r w:rsidRPr="000A209A">
        <w:rPr>
          <w:rFonts w:ascii="Times New Roman" w:hAnsi="Times New Roman" w:cs="Times New Roman"/>
          <w:b/>
          <w:bCs/>
          <w:color w:val="000000" w:themeColor="text1"/>
          <w:sz w:val="22"/>
          <w:szCs w:val="22"/>
        </w:rPr>
        <w:t>proposta progettuale</w:t>
      </w:r>
      <w:r w:rsidRPr="000A209A">
        <w:rPr>
          <w:rFonts w:ascii="Times New Roman" w:hAnsi="Times New Roman" w:cs="Times New Roman"/>
          <w:color w:val="000000" w:themeColor="text1"/>
          <w:sz w:val="22"/>
          <w:szCs w:val="22"/>
        </w:rPr>
        <w:t xml:space="preserve"> per l'organizzazione della manifestazione, redatta in formato A4, con carattere di dimensione </w:t>
      </w:r>
      <w:r w:rsidRPr="000A209A">
        <w:rPr>
          <w:rFonts w:ascii="Times New Roman" w:hAnsi="Times New Roman" w:cs="Times New Roman"/>
          <w:b/>
          <w:bCs/>
          <w:color w:val="000000" w:themeColor="text1"/>
          <w:sz w:val="22"/>
          <w:szCs w:val="22"/>
        </w:rPr>
        <w:t xml:space="preserve">non inferiore a </w:t>
      </w:r>
      <w:r w:rsidR="00127FEF" w:rsidRPr="000A209A">
        <w:rPr>
          <w:rFonts w:ascii="Times New Roman" w:hAnsi="Times New Roman" w:cs="Times New Roman"/>
          <w:b/>
          <w:bCs/>
          <w:color w:val="000000" w:themeColor="text1"/>
          <w:sz w:val="22"/>
          <w:szCs w:val="22"/>
        </w:rPr>
        <w:t>cinque (5)</w:t>
      </w:r>
      <w:r w:rsidRPr="000A209A">
        <w:rPr>
          <w:rFonts w:ascii="Times New Roman" w:hAnsi="Times New Roman" w:cs="Times New Roman"/>
          <w:b/>
          <w:bCs/>
          <w:color w:val="000000" w:themeColor="text1"/>
          <w:sz w:val="22"/>
          <w:szCs w:val="22"/>
        </w:rPr>
        <w:t>, pagine</w:t>
      </w:r>
      <w:r w:rsidRPr="000A209A">
        <w:rPr>
          <w:rFonts w:ascii="Times New Roman" w:hAnsi="Times New Roman" w:cs="Times New Roman"/>
          <w:color w:val="000000" w:themeColor="text1"/>
          <w:sz w:val="22"/>
          <w:szCs w:val="22"/>
        </w:rPr>
        <w:t xml:space="preserve"> numerate</w:t>
      </w:r>
      <w:r w:rsidR="000A209A">
        <w:rPr>
          <w:rFonts w:ascii="Times New Roman" w:hAnsi="Times New Roman" w:cs="Times New Roman"/>
          <w:color w:val="000000" w:themeColor="text1"/>
          <w:sz w:val="22"/>
          <w:szCs w:val="22"/>
        </w:rPr>
        <w:t xml:space="preserve"> e non superiore a</w:t>
      </w:r>
      <w:r w:rsidRPr="000A209A">
        <w:rPr>
          <w:rFonts w:ascii="Times New Roman" w:hAnsi="Times New Roman" w:cs="Times New Roman"/>
          <w:color w:val="000000" w:themeColor="text1"/>
          <w:sz w:val="22"/>
          <w:szCs w:val="22"/>
        </w:rPr>
        <w:t xml:space="preserve"> </w:t>
      </w:r>
      <w:r w:rsidR="00127FEF" w:rsidRPr="000A209A">
        <w:rPr>
          <w:rFonts w:ascii="Times New Roman" w:hAnsi="Times New Roman" w:cs="Times New Roman"/>
          <w:b/>
          <w:bCs/>
          <w:color w:val="000000" w:themeColor="text1"/>
          <w:sz w:val="22"/>
          <w:szCs w:val="22"/>
        </w:rPr>
        <w:t>dieci</w:t>
      </w:r>
      <w:r w:rsidRPr="000A209A">
        <w:rPr>
          <w:rFonts w:ascii="Times New Roman" w:hAnsi="Times New Roman" w:cs="Times New Roman"/>
          <w:b/>
          <w:bCs/>
          <w:color w:val="000000" w:themeColor="text1"/>
          <w:sz w:val="22"/>
          <w:szCs w:val="22"/>
        </w:rPr>
        <w:t xml:space="preserve"> (1</w:t>
      </w:r>
      <w:r w:rsidR="00127FEF" w:rsidRPr="000A209A">
        <w:rPr>
          <w:rFonts w:ascii="Times New Roman" w:hAnsi="Times New Roman" w:cs="Times New Roman"/>
          <w:b/>
          <w:bCs/>
          <w:color w:val="000000" w:themeColor="text1"/>
          <w:sz w:val="22"/>
          <w:szCs w:val="22"/>
        </w:rPr>
        <w:t>0</w:t>
      </w:r>
      <w:r w:rsidRPr="000A209A">
        <w:rPr>
          <w:rFonts w:ascii="Times New Roman" w:hAnsi="Times New Roman" w:cs="Times New Roman"/>
          <w:b/>
          <w:bCs/>
          <w:color w:val="000000" w:themeColor="text1"/>
          <w:sz w:val="22"/>
          <w:szCs w:val="22"/>
        </w:rPr>
        <w:t xml:space="preserve">) </w:t>
      </w:r>
      <w:r w:rsidR="000A209A">
        <w:rPr>
          <w:rFonts w:ascii="Times New Roman" w:hAnsi="Times New Roman" w:cs="Times New Roman"/>
          <w:b/>
          <w:bCs/>
          <w:color w:val="000000" w:themeColor="text1"/>
          <w:sz w:val="22"/>
          <w:szCs w:val="22"/>
        </w:rPr>
        <w:t>pagine</w:t>
      </w:r>
      <w:r w:rsidR="000A209A">
        <w:rPr>
          <w:rFonts w:ascii="Times New Roman" w:hAnsi="Times New Roman" w:cs="Times New Roman"/>
          <w:color w:val="000000" w:themeColor="text1"/>
          <w:sz w:val="22"/>
          <w:szCs w:val="22"/>
        </w:rPr>
        <w:t>.</w:t>
      </w:r>
    </w:p>
    <w:p w14:paraId="2D950292"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6.2 Si raccomanda di articolare la proposta secondo i criteri di valutazione di cui all'art. 7, trattando in particolare: il progetto tecnico di gara (percorso, formula, servizi ai concorrenti, ristori, cronometraggio); il piano della sicurezza e il dispositivo sanitario e viabilistico; l'esperienza e la struttura organizzativa del proponente; il piano di promozione, comunicazione e valorizzazione del territorio e del Ruché; il piano economico-finanziario e di reperimento delle sponsorizzazioni; la sostenibilità ambientale; il radicamento territoriale e la rete di volontariato.</w:t>
      </w:r>
    </w:p>
    <w:p w14:paraId="48906EA9" w14:textId="77777777"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Art. 7 — Criteri di valutazione e punteggi</w:t>
      </w:r>
    </w:p>
    <w:p w14:paraId="67F21824"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7.1 La valutazione è effettuata da apposita Commissione (art. 8) attribuendo alla proposta progettuale un punteggio massimo complessivo di </w:t>
      </w:r>
      <w:r w:rsidRPr="000A209A">
        <w:rPr>
          <w:rFonts w:ascii="Times New Roman" w:hAnsi="Times New Roman" w:cs="Times New Roman"/>
          <w:b/>
          <w:bCs/>
          <w:color w:val="000000" w:themeColor="text1"/>
          <w:sz w:val="22"/>
          <w:szCs w:val="22"/>
        </w:rPr>
        <w:t>100 punti</w:t>
      </w:r>
      <w:r w:rsidRPr="000A209A">
        <w:rPr>
          <w:rFonts w:ascii="Times New Roman" w:hAnsi="Times New Roman" w:cs="Times New Roman"/>
          <w:color w:val="000000" w:themeColor="text1"/>
          <w:sz w:val="22"/>
          <w:szCs w:val="22"/>
        </w:rPr>
        <w:t>, secondo la tabella seguente.</w:t>
      </w:r>
    </w:p>
    <w:tbl>
      <w:tblPr>
        <w:tblW w:w="9350" w:type="dxa"/>
        <w:tblBorders>
          <w:top w:val="single" w:sz="2" w:space="0" w:color="AAAAAA"/>
          <w:left w:val="single" w:sz="2" w:space="0" w:color="AAAAAA"/>
          <w:bottom w:val="single" w:sz="2" w:space="0" w:color="AAAAAA"/>
          <w:right w:val="single" w:sz="2" w:space="0" w:color="AAAAAA"/>
          <w:insideH w:val="single" w:sz="1" w:space="0" w:color="CCCCCC"/>
          <w:insideV w:val="single" w:sz="1" w:space="0" w:color="CCCCCC"/>
        </w:tblBorders>
        <w:tblCellMar>
          <w:left w:w="10" w:type="dxa"/>
          <w:right w:w="10" w:type="dxa"/>
        </w:tblCellMar>
        <w:tblLook w:val="04A0" w:firstRow="1" w:lastRow="0" w:firstColumn="1" w:lastColumn="0" w:noHBand="0" w:noVBand="1"/>
      </w:tblPr>
      <w:tblGrid>
        <w:gridCol w:w="564"/>
        <w:gridCol w:w="7616"/>
        <w:gridCol w:w="1170"/>
      </w:tblGrid>
      <w:tr w:rsidR="00127FEF" w:rsidRPr="000A209A" w14:paraId="39B3B412" w14:textId="77777777" w:rsidTr="000A209A">
        <w:trPr>
          <w:tblHeader/>
        </w:trPr>
        <w:tc>
          <w:tcPr>
            <w:tcW w:w="564" w:type="dxa"/>
            <w:shd w:val="clear" w:color="auto" w:fill="D9D9D9" w:themeFill="background1" w:themeFillShade="D9"/>
            <w:tcMar>
              <w:top w:w="60" w:type="dxa"/>
              <w:left w:w="90" w:type="dxa"/>
              <w:bottom w:w="60" w:type="dxa"/>
              <w:right w:w="90" w:type="dxa"/>
            </w:tcMar>
          </w:tcPr>
          <w:p w14:paraId="4D95199C"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rPr>
              <w:t>N.</w:t>
            </w:r>
          </w:p>
        </w:tc>
        <w:tc>
          <w:tcPr>
            <w:tcW w:w="7616" w:type="dxa"/>
            <w:shd w:val="clear" w:color="auto" w:fill="D9D9D9" w:themeFill="background1" w:themeFillShade="D9"/>
            <w:tcMar>
              <w:top w:w="60" w:type="dxa"/>
              <w:left w:w="90" w:type="dxa"/>
              <w:bottom w:w="60" w:type="dxa"/>
              <w:right w:w="90" w:type="dxa"/>
            </w:tcMar>
          </w:tcPr>
          <w:p w14:paraId="6C044B2A"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rPr>
              <w:t>Criterio di valutazione</w:t>
            </w:r>
          </w:p>
        </w:tc>
        <w:tc>
          <w:tcPr>
            <w:tcW w:w="1170" w:type="dxa"/>
            <w:shd w:val="clear" w:color="auto" w:fill="D9D9D9" w:themeFill="background1" w:themeFillShade="D9"/>
            <w:tcMar>
              <w:top w:w="60" w:type="dxa"/>
              <w:left w:w="90" w:type="dxa"/>
              <w:bottom w:w="60" w:type="dxa"/>
              <w:right w:w="90" w:type="dxa"/>
            </w:tcMar>
          </w:tcPr>
          <w:p w14:paraId="7BC46DC2"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rPr>
              <w:t>Punteggio max</w:t>
            </w:r>
          </w:p>
        </w:tc>
      </w:tr>
      <w:tr w:rsidR="00127FEF" w:rsidRPr="000A209A" w14:paraId="0C810349" w14:textId="77777777" w:rsidTr="000A209A">
        <w:tc>
          <w:tcPr>
            <w:tcW w:w="564" w:type="dxa"/>
            <w:tcMar>
              <w:top w:w="60" w:type="dxa"/>
              <w:left w:w="90" w:type="dxa"/>
              <w:bottom w:w="60" w:type="dxa"/>
              <w:right w:w="90" w:type="dxa"/>
            </w:tcMar>
          </w:tcPr>
          <w:p w14:paraId="3E0FF579"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1</w:t>
            </w:r>
          </w:p>
        </w:tc>
        <w:tc>
          <w:tcPr>
            <w:tcW w:w="7616" w:type="dxa"/>
            <w:tcMar>
              <w:top w:w="60" w:type="dxa"/>
              <w:left w:w="90" w:type="dxa"/>
              <w:bottom w:w="60" w:type="dxa"/>
              <w:right w:w="90" w:type="dxa"/>
            </w:tcMar>
          </w:tcPr>
          <w:p w14:paraId="0549021F"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rPr>
              <w:t>Qualità tecnica del progetto di gara</w:t>
            </w:r>
            <w:r w:rsidRPr="000A209A">
              <w:rPr>
                <w:rFonts w:ascii="Times New Roman" w:hAnsi="Times New Roman" w:cs="Times New Roman"/>
                <w:color w:val="000000" w:themeColor="text1"/>
              </w:rPr>
              <w:t xml:space="preserve"> — coerenza e attrattività del percorso, formula della manifestazione (distanze, eventuale staffetta a frazioni con cambi nei sette Comuni, non competitive), servizi ai concorrenti, ristori, cronometraggio e gestione delle iscrizioni</w:t>
            </w:r>
          </w:p>
        </w:tc>
        <w:tc>
          <w:tcPr>
            <w:tcW w:w="1170" w:type="dxa"/>
            <w:tcMar>
              <w:top w:w="60" w:type="dxa"/>
              <w:left w:w="90" w:type="dxa"/>
              <w:bottom w:w="60" w:type="dxa"/>
              <w:right w:w="90" w:type="dxa"/>
            </w:tcMar>
          </w:tcPr>
          <w:p w14:paraId="5CE30699"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30</w:t>
            </w:r>
          </w:p>
        </w:tc>
      </w:tr>
      <w:tr w:rsidR="00127FEF" w:rsidRPr="000A209A" w14:paraId="0616C323" w14:textId="77777777" w:rsidTr="000A209A">
        <w:tc>
          <w:tcPr>
            <w:tcW w:w="564" w:type="dxa"/>
            <w:tcMar>
              <w:top w:w="60" w:type="dxa"/>
              <w:left w:w="90" w:type="dxa"/>
              <w:bottom w:w="60" w:type="dxa"/>
              <w:right w:w="90" w:type="dxa"/>
            </w:tcMar>
          </w:tcPr>
          <w:p w14:paraId="4C67C9FB"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2</w:t>
            </w:r>
          </w:p>
        </w:tc>
        <w:tc>
          <w:tcPr>
            <w:tcW w:w="7616" w:type="dxa"/>
            <w:tcMar>
              <w:top w:w="60" w:type="dxa"/>
              <w:left w:w="90" w:type="dxa"/>
              <w:bottom w:w="60" w:type="dxa"/>
              <w:right w:w="90" w:type="dxa"/>
            </w:tcMar>
          </w:tcPr>
          <w:p w14:paraId="44BC8072"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rPr>
              <w:t>Piano della sicurezza e dispositivo sanitario e viabilistico</w:t>
            </w:r>
            <w:r w:rsidRPr="000A209A">
              <w:rPr>
                <w:rFonts w:ascii="Times New Roman" w:hAnsi="Times New Roman" w:cs="Times New Roman"/>
                <w:color w:val="000000" w:themeColor="text1"/>
              </w:rPr>
              <w:t xml:space="preserve"> — organizzazione della safety, presidio del percorso (con specifica attenzione ai tratti sterrati non accessibili ai mezzi ordinari), dotazione DAE, raccordo con il sistema di emergenza sanitaria e con la Polizia Locale</w:t>
            </w:r>
          </w:p>
        </w:tc>
        <w:tc>
          <w:tcPr>
            <w:tcW w:w="1170" w:type="dxa"/>
            <w:tcMar>
              <w:top w:w="60" w:type="dxa"/>
              <w:left w:w="90" w:type="dxa"/>
              <w:bottom w:w="60" w:type="dxa"/>
              <w:right w:w="90" w:type="dxa"/>
            </w:tcMar>
          </w:tcPr>
          <w:p w14:paraId="0E985C3A"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20</w:t>
            </w:r>
          </w:p>
        </w:tc>
      </w:tr>
      <w:tr w:rsidR="00127FEF" w:rsidRPr="000A209A" w14:paraId="1BE64DF2" w14:textId="77777777" w:rsidTr="000A209A">
        <w:tc>
          <w:tcPr>
            <w:tcW w:w="564" w:type="dxa"/>
            <w:tcMar>
              <w:top w:w="60" w:type="dxa"/>
              <w:left w:w="90" w:type="dxa"/>
              <w:bottom w:w="60" w:type="dxa"/>
              <w:right w:w="90" w:type="dxa"/>
            </w:tcMar>
          </w:tcPr>
          <w:p w14:paraId="3248D3AF"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3</w:t>
            </w:r>
          </w:p>
        </w:tc>
        <w:tc>
          <w:tcPr>
            <w:tcW w:w="7616" w:type="dxa"/>
            <w:tcMar>
              <w:top w:w="60" w:type="dxa"/>
              <w:left w:w="90" w:type="dxa"/>
              <w:bottom w:w="60" w:type="dxa"/>
              <w:right w:w="90" w:type="dxa"/>
            </w:tcMar>
          </w:tcPr>
          <w:p w14:paraId="2EED9C5E"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rPr>
              <w:t>Esperienza e affidabilità organizzativa del proponente</w:t>
            </w:r>
            <w:r w:rsidRPr="000A209A">
              <w:rPr>
                <w:rFonts w:ascii="Times New Roman" w:hAnsi="Times New Roman" w:cs="Times New Roman"/>
                <w:color w:val="000000" w:themeColor="text1"/>
              </w:rPr>
              <w:t xml:space="preserve"> — numero, dimensione e qualità delle manifestazioni podistiche organizzate nel triennio, solidità della struttura e delle professionalità coinvolte</w:t>
            </w:r>
          </w:p>
        </w:tc>
        <w:tc>
          <w:tcPr>
            <w:tcW w:w="1170" w:type="dxa"/>
            <w:tcMar>
              <w:top w:w="60" w:type="dxa"/>
              <w:left w:w="90" w:type="dxa"/>
              <w:bottom w:w="60" w:type="dxa"/>
              <w:right w:w="90" w:type="dxa"/>
            </w:tcMar>
          </w:tcPr>
          <w:p w14:paraId="6C949A09"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15</w:t>
            </w:r>
          </w:p>
        </w:tc>
      </w:tr>
      <w:tr w:rsidR="00127FEF" w:rsidRPr="000A209A" w14:paraId="6E171E66" w14:textId="77777777" w:rsidTr="000A209A">
        <w:tc>
          <w:tcPr>
            <w:tcW w:w="564" w:type="dxa"/>
            <w:tcMar>
              <w:top w:w="60" w:type="dxa"/>
              <w:left w:w="90" w:type="dxa"/>
              <w:bottom w:w="60" w:type="dxa"/>
              <w:right w:w="90" w:type="dxa"/>
            </w:tcMar>
          </w:tcPr>
          <w:p w14:paraId="6D490E5C"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4</w:t>
            </w:r>
          </w:p>
        </w:tc>
        <w:tc>
          <w:tcPr>
            <w:tcW w:w="7616" w:type="dxa"/>
            <w:tcMar>
              <w:top w:w="60" w:type="dxa"/>
              <w:left w:w="90" w:type="dxa"/>
              <w:bottom w:w="60" w:type="dxa"/>
              <w:right w:w="90" w:type="dxa"/>
            </w:tcMar>
          </w:tcPr>
          <w:p w14:paraId="26B8CA46"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rPr>
              <w:t>Promozione, comunicazione e valorizzazione del territorio e del Ruché</w:t>
            </w:r>
            <w:r w:rsidRPr="000A209A">
              <w:rPr>
                <w:rFonts w:ascii="Times New Roman" w:hAnsi="Times New Roman" w:cs="Times New Roman"/>
                <w:color w:val="000000" w:themeColor="text1"/>
              </w:rPr>
              <w:t xml:space="preserve"> — piano di comunicazione, coinvolgimento del Consorzio di Tutela, delle cantine, dell'ATL e delle realtà locali, ricadute turistiche attese per i sette Comuni</w:t>
            </w:r>
          </w:p>
        </w:tc>
        <w:tc>
          <w:tcPr>
            <w:tcW w:w="1170" w:type="dxa"/>
            <w:tcMar>
              <w:top w:w="60" w:type="dxa"/>
              <w:left w:w="90" w:type="dxa"/>
              <w:bottom w:w="60" w:type="dxa"/>
              <w:right w:w="90" w:type="dxa"/>
            </w:tcMar>
          </w:tcPr>
          <w:p w14:paraId="1A3493CF"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15</w:t>
            </w:r>
          </w:p>
        </w:tc>
      </w:tr>
      <w:tr w:rsidR="00127FEF" w:rsidRPr="000A209A" w14:paraId="50ABE28E" w14:textId="77777777" w:rsidTr="000A209A">
        <w:tc>
          <w:tcPr>
            <w:tcW w:w="564" w:type="dxa"/>
            <w:tcMar>
              <w:top w:w="60" w:type="dxa"/>
              <w:left w:w="90" w:type="dxa"/>
              <w:bottom w:w="60" w:type="dxa"/>
              <w:right w:w="90" w:type="dxa"/>
            </w:tcMar>
          </w:tcPr>
          <w:p w14:paraId="07F623B9"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5</w:t>
            </w:r>
          </w:p>
        </w:tc>
        <w:tc>
          <w:tcPr>
            <w:tcW w:w="7616" w:type="dxa"/>
            <w:tcMar>
              <w:top w:w="60" w:type="dxa"/>
              <w:left w:w="90" w:type="dxa"/>
              <w:bottom w:w="60" w:type="dxa"/>
              <w:right w:w="90" w:type="dxa"/>
            </w:tcMar>
          </w:tcPr>
          <w:p w14:paraId="08C51CA5"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rPr>
              <w:t>Sostenibilità economico-finanziaria e piano sponsor</w:t>
            </w:r>
            <w:r w:rsidRPr="000A209A">
              <w:rPr>
                <w:rFonts w:ascii="Times New Roman" w:hAnsi="Times New Roman" w:cs="Times New Roman"/>
                <w:color w:val="000000" w:themeColor="text1"/>
              </w:rPr>
              <w:t xml:space="preserve"> — equilibrio e attendibilità del budget, capacità di reperimento diretto delle sponsorizzazioni, contenimento degli oneri a carico del contributo pubblico</w:t>
            </w:r>
          </w:p>
        </w:tc>
        <w:tc>
          <w:tcPr>
            <w:tcW w:w="1170" w:type="dxa"/>
            <w:tcMar>
              <w:top w:w="60" w:type="dxa"/>
              <w:left w:w="90" w:type="dxa"/>
              <w:bottom w:w="60" w:type="dxa"/>
              <w:right w:w="90" w:type="dxa"/>
            </w:tcMar>
          </w:tcPr>
          <w:p w14:paraId="0CE88E68"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10</w:t>
            </w:r>
          </w:p>
        </w:tc>
      </w:tr>
      <w:tr w:rsidR="00127FEF" w:rsidRPr="000A209A" w14:paraId="006105B1" w14:textId="77777777" w:rsidTr="000A209A">
        <w:tc>
          <w:tcPr>
            <w:tcW w:w="564" w:type="dxa"/>
            <w:tcMar>
              <w:top w:w="60" w:type="dxa"/>
              <w:left w:w="90" w:type="dxa"/>
              <w:bottom w:w="60" w:type="dxa"/>
              <w:right w:w="90" w:type="dxa"/>
            </w:tcMar>
          </w:tcPr>
          <w:p w14:paraId="6D1F32F5"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6</w:t>
            </w:r>
          </w:p>
        </w:tc>
        <w:tc>
          <w:tcPr>
            <w:tcW w:w="7616" w:type="dxa"/>
            <w:tcMar>
              <w:top w:w="60" w:type="dxa"/>
              <w:left w:w="90" w:type="dxa"/>
              <w:bottom w:w="60" w:type="dxa"/>
              <w:right w:w="90" w:type="dxa"/>
            </w:tcMar>
          </w:tcPr>
          <w:p w14:paraId="60F2C4E2"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rPr>
              <w:t>Sostenibilità ambientale dell'evento</w:t>
            </w:r>
            <w:r w:rsidRPr="000A209A">
              <w:rPr>
                <w:rFonts w:ascii="Times New Roman" w:hAnsi="Times New Roman" w:cs="Times New Roman"/>
                <w:color w:val="000000" w:themeColor="text1"/>
              </w:rPr>
              <w:t xml:space="preserve"> — gestione dei rifiuti, riduzione della plastica monouso ai ristori, mobilità sostenibile, rispetto del contesto vitivinicolo e paesaggistico</w:t>
            </w:r>
          </w:p>
        </w:tc>
        <w:tc>
          <w:tcPr>
            <w:tcW w:w="1170" w:type="dxa"/>
            <w:tcMar>
              <w:top w:w="60" w:type="dxa"/>
              <w:left w:w="90" w:type="dxa"/>
              <w:bottom w:w="60" w:type="dxa"/>
              <w:right w:w="90" w:type="dxa"/>
            </w:tcMar>
          </w:tcPr>
          <w:p w14:paraId="5C77F0E2"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5</w:t>
            </w:r>
          </w:p>
        </w:tc>
      </w:tr>
      <w:tr w:rsidR="00127FEF" w:rsidRPr="000A209A" w14:paraId="44F98630" w14:textId="77777777" w:rsidTr="000A209A">
        <w:tc>
          <w:tcPr>
            <w:tcW w:w="564" w:type="dxa"/>
            <w:tcMar>
              <w:top w:w="60" w:type="dxa"/>
              <w:left w:w="90" w:type="dxa"/>
              <w:bottom w:w="60" w:type="dxa"/>
              <w:right w:w="90" w:type="dxa"/>
            </w:tcMar>
          </w:tcPr>
          <w:p w14:paraId="252406E2"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7</w:t>
            </w:r>
          </w:p>
        </w:tc>
        <w:tc>
          <w:tcPr>
            <w:tcW w:w="7616" w:type="dxa"/>
            <w:tcMar>
              <w:top w:w="60" w:type="dxa"/>
              <w:left w:w="90" w:type="dxa"/>
              <w:bottom w:w="60" w:type="dxa"/>
              <w:right w:w="90" w:type="dxa"/>
            </w:tcMar>
          </w:tcPr>
          <w:p w14:paraId="7228CCB0"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rPr>
              <w:t>Radicamento territoriale e rete di volontariato</w:t>
            </w:r>
            <w:r w:rsidRPr="000A209A">
              <w:rPr>
                <w:rFonts w:ascii="Times New Roman" w:hAnsi="Times New Roman" w:cs="Times New Roman"/>
                <w:color w:val="000000" w:themeColor="text1"/>
              </w:rPr>
              <w:t xml:space="preserve"> — coinvolgimento di pro loco, associazioni e società sportive locali, capacità di mobilitare volontari sui sette territori</w:t>
            </w:r>
          </w:p>
        </w:tc>
        <w:tc>
          <w:tcPr>
            <w:tcW w:w="1170" w:type="dxa"/>
            <w:tcMar>
              <w:top w:w="60" w:type="dxa"/>
              <w:left w:w="90" w:type="dxa"/>
              <w:bottom w:w="60" w:type="dxa"/>
              <w:right w:w="90" w:type="dxa"/>
            </w:tcMar>
          </w:tcPr>
          <w:p w14:paraId="22417A32"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color w:val="000000" w:themeColor="text1"/>
              </w:rPr>
              <w:t>5</w:t>
            </w:r>
          </w:p>
        </w:tc>
      </w:tr>
      <w:tr w:rsidR="00127FEF" w:rsidRPr="000A209A" w14:paraId="5BDC5E22" w14:textId="77777777" w:rsidTr="000A209A">
        <w:tc>
          <w:tcPr>
            <w:tcW w:w="564" w:type="dxa"/>
            <w:tcMar>
              <w:top w:w="60" w:type="dxa"/>
              <w:left w:w="90" w:type="dxa"/>
              <w:bottom w:w="60" w:type="dxa"/>
              <w:right w:w="90" w:type="dxa"/>
            </w:tcMar>
          </w:tcPr>
          <w:p w14:paraId="339DB7DB" w14:textId="77777777" w:rsidR="001C133A" w:rsidRPr="000A209A" w:rsidRDefault="001C133A">
            <w:pPr>
              <w:spacing w:before="20" w:after="20"/>
              <w:rPr>
                <w:rFonts w:ascii="Times New Roman" w:hAnsi="Times New Roman" w:cs="Times New Roman"/>
                <w:color w:val="000000" w:themeColor="text1"/>
                <w:sz w:val="22"/>
                <w:szCs w:val="22"/>
              </w:rPr>
            </w:pPr>
          </w:p>
        </w:tc>
        <w:tc>
          <w:tcPr>
            <w:tcW w:w="7616" w:type="dxa"/>
            <w:tcMar>
              <w:top w:w="60" w:type="dxa"/>
              <w:left w:w="90" w:type="dxa"/>
              <w:bottom w:w="60" w:type="dxa"/>
              <w:right w:w="90" w:type="dxa"/>
            </w:tcMar>
          </w:tcPr>
          <w:p w14:paraId="44A30CEC"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rPr>
              <w:t>TOTALE</w:t>
            </w:r>
          </w:p>
        </w:tc>
        <w:tc>
          <w:tcPr>
            <w:tcW w:w="1170" w:type="dxa"/>
            <w:tcMar>
              <w:top w:w="60" w:type="dxa"/>
              <w:left w:w="90" w:type="dxa"/>
              <w:bottom w:w="60" w:type="dxa"/>
              <w:right w:w="90" w:type="dxa"/>
            </w:tcMar>
          </w:tcPr>
          <w:p w14:paraId="3E3394B3" w14:textId="77777777" w:rsidR="001C133A" w:rsidRPr="000A209A" w:rsidRDefault="00000000">
            <w:pPr>
              <w:spacing w:before="20" w:after="20"/>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rPr>
              <w:t>100</w:t>
            </w:r>
          </w:p>
        </w:tc>
      </w:tr>
    </w:tbl>
    <w:p w14:paraId="301426A7" w14:textId="77777777" w:rsidR="001C133A" w:rsidRPr="000A209A" w:rsidRDefault="001C133A">
      <w:pPr>
        <w:spacing w:after="160"/>
        <w:rPr>
          <w:rFonts w:ascii="Times New Roman" w:hAnsi="Times New Roman" w:cs="Times New Roman"/>
          <w:color w:val="000000" w:themeColor="text1"/>
          <w:sz w:val="22"/>
          <w:szCs w:val="22"/>
        </w:rPr>
      </w:pPr>
    </w:p>
    <w:p w14:paraId="101BA884"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7.2 La proposta è considerata idonea al raggiungimento di un punteggio complessivo non inferiore a </w:t>
      </w:r>
      <w:r w:rsidRPr="000A209A">
        <w:rPr>
          <w:rFonts w:ascii="Times New Roman" w:hAnsi="Times New Roman" w:cs="Times New Roman"/>
          <w:b/>
          <w:bCs/>
          <w:color w:val="000000" w:themeColor="text1"/>
          <w:sz w:val="22"/>
          <w:szCs w:val="22"/>
        </w:rPr>
        <w:t>60/100</w:t>
      </w:r>
      <w:r w:rsidRPr="000A209A">
        <w:rPr>
          <w:rFonts w:ascii="Times New Roman" w:hAnsi="Times New Roman" w:cs="Times New Roman"/>
          <w:color w:val="000000" w:themeColor="text1"/>
          <w:sz w:val="22"/>
          <w:szCs w:val="22"/>
        </w:rPr>
        <w:t xml:space="preserve">. L'affidamento è disposto in favore del concorrente che ha conseguito il punteggio più elevato. La procedura può concludersi anche in presenza di una sola proposta valida, purché idonea e coerente con gli obiettivi </w:t>
      </w:r>
      <w:r w:rsidRPr="000A209A">
        <w:rPr>
          <w:rFonts w:ascii="Times New Roman" w:hAnsi="Times New Roman" w:cs="Times New Roman"/>
          <w:color w:val="000000" w:themeColor="text1"/>
          <w:sz w:val="22"/>
          <w:szCs w:val="22"/>
        </w:rPr>
        <w:lastRenderedPageBreak/>
        <w:t>dell'Amministrazione; il Comune si riserva altresì di non individuare alcun soggetto qualora le proposte siano ritenute inadeguate.</w:t>
      </w:r>
    </w:p>
    <w:p w14:paraId="101C8D3F" w14:textId="77777777"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Art. 8 — Commissione di valutazione</w:t>
      </w:r>
    </w:p>
    <w:p w14:paraId="326373B1"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8.1 Dopo la scadenza del termine di presentazione, il Comune di Castagnole Monferrato nomina una Commissione di valutazione composta da tre membri, che opera come organo collegiale perfetto ed esprime per ciascun criterio un giudizio unico sintetico in forma numerica.</w:t>
      </w:r>
    </w:p>
    <w:p w14:paraId="2C5A23EB"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8.2 La Commissione procede all'apertura delle domande, alla verifica dei requisiti, alla valutazione delle proposte e alla formazione della graduatoria di merito, dandone atto in appositi verbali.</w:t>
      </w:r>
    </w:p>
    <w:p w14:paraId="1920C750" w14:textId="77777777"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Art. 9 — Obblighi dell'organizzatore individuato</w:t>
      </w:r>
    </w:p>
    <w:p w14:paraId="198B12D8"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9.1 L'organizzatore individuato sottoscrive con il Comune capofila un </w:t>
      </w:r>
      <w:r w:rsidRPr="000A209A">
        <w:rPr>
          <w:rFonts w:ascii="Times New Roman" w:hAnsi="Times New Roman" w:cs="Times New Roman"/>
          <w:b/>
          <w:bCs/>
          <w:color w:val="000000" w:themeColor="text1"/>
          <w:sz w:val="22"/>
          <w:szCs w:val="22"/>
        </w:rPr>
        <w:t>disciplinare/convenzione</w:t>
      </w:r>
      <w:r w:rsidRPr="000A209A">
        <w:rPr>
          <w:rFonts w:ascii="Times New Roman" w:hAnsi="Times New Roman" w:cs="Times New Roman"/>
          <w:color w:val="000000" w:themeColor="text1"/>
          <w:sz w:val="22"/>
          <w:szCs w:val="22"/>
        </w:rPr>
        <w:t xml:space="preserve"> che regola il rapporto e che contiene, tra l'altro, gli obblighi di seguito indicati.</w:t>
      </w:r>
    </w:p>
    <w:p w14:paraId="075EA697"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9.2 L'organizzatore assume in via esclusiva </w:t>
      </w:r>
      <w:r w:rsidRPr="000A209A">
        <w:rPr>
          <w:rFonts w:ascii="Times New Roman" w:hAnsi="Times New Roman" w:cs="Times New Roman"/>
          <w:b/>
          <w:bCs/>
          <w:color w:val="000000" w:themeColor="text1"/>
          <w:sz w:val="22"/>
          <w:szCs w:val="22"/>
        </w:rPr>
        <w:t>tutti i rischi economici e operativi</w:t>
      </w:r>
      <w:r w:rsidRPr="000A209A">
        <w:rPr>
          <w:rFonts w:ascii="Times New Roman" w:hAnsi="Times New Roman" w:cs="Times New Roman"/>
          <w:color w:val="000000" w:themeColor="text1"/>
          <w:sz w:val="22"/>
          <w:szCs w:val="22"/>
        </w:rPr>
        <w:t xml:space="preserve"> della manifestazione, ivi compresi gli oneri per il dispositivo sanitario (in raccordo con Azienda Zero – SUEM 118 e ASL AT), per la tutela sanitaria dei partecipanti (certificazione agonistica ex D.M. 18/02/1982 e non agonistica ex D.M. 24/04/2013), per la dotazione e il personale DAE (D.M. 26/06/2017; L. 116/2021), per la segnaletica e il presidio di percorso, per i ristori, la logistica e la comunicazione.</w:t>
      </w:r>
    </w:p>
    <w:p w14:paraId="55299238"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9.3 L'organizzatore </w:t>
      </w:r>
      <w:r w:rsidRPr="000A209A">
        <w:rPr>
          <w:rFonts w:ascii="Times New Roman" w:hAnsi="Times New Roman" w:cs="Times New Roman"/>
          <w:b/>
          <w:bCs/>
          <w:color w:val="000000" w:themeColor="text1"/>
          <w:sz w:val="22"/>
          <w:szCs w:val="22"/>
        </w:rPr>
        <w:t>raccoglie direttamente dagli sponsor</w:t>
      </w:r>
      <w:r w:rsidRPr="000A209A">
        <w:rPr>
          <w:rFonts w:ascii="Times New Roman" w:hAnsi="Times New Roman" w:cs="Times New Roman"/>
          <w:color w:val="000000" w:themeColor="text1"/>
          <w:sz w:val="22"/>
          <w:szCs w:val="22"/>
        </w:rPr>
        <w:t xml:space="preserve"> i contributi e le sponsorizzazioni private a sostegno dell'evento, che introita e rendiconta in proprio, senza che alcun rapporto sorga in capo ai Comuni.</w:t>
      </w:r>
    </w:p>
    <w:p w14:paraId="36DB645B"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9.4 L'organizzatore stipula </w:t>
      </w:r>
      <w:r w:rsidRPr="000A209A">
        <w:rPr>
          <w:rFonts w:ascii="Times New Roman" w:hAnsi="Times New Roman" w:cs="Times New Roman"/>
          <w:b/>
          <w:bCs/>
          <w:color w:val="000000" w:themeColor="text1"/>
          <w:sz w:val="22"/>
          <w:szCs w:val="22"/>
        </w:rPr>
        <w:t>polizza di responsabilità civile verso terzi con massimale non inferiore a € 5.000.000,00</w:t>
      </w:r>
      <w:r w:rsidRPr="000A209A">
        <w:rPr>
          <w:rFonts w:ascii="Times New Roman" w:hAnsi="Times New Roman" w:cs="Times New Roman"/>
          <w:color w:val="000000" w:themeColor="text1"/>
          <w:sz w:val="22"/>
          <w:szCs w:val="22"/>
        </w:rPr>
        <w:t>, con estensione della qualifica di assicurato ai sette Comuni, oltre a polizza infortuni dei partecipanti e copertura dei volontari, inquadrati ai sensi dell'art. 29 del D.Lgs. 36/2021. L'organizzatore tiene indenni i Comuni da ogni pretesa di terzi connessa all'evento.</w:t>
      </w:r>
    </w:p>
    <w:p w14:paraId="19A5D41F"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9.5 L'organizzatore utilizza il marchio </w:t>
      </w:r>
      <w:r w:rsidRPr="000A209A">
        <w:rPr>
          <w:rFonts w:ascii="Times New Roman" w:hAnsi="Times New Roman" w:cs="Times New Roman"/>
          <w:b/>
          <w:bCs/>
          <w:color w:val="000000" w:themeColor="text1"/>
          <w:sz w:val="22"/>
          <w:szCs w:val="22"/>
        </w:rPr>
        <w:t>"Ecomaratona del Ruché"</w:t>
      </w:r>
      <w:r w:rsidRPr="000A209A">
        <w:rPr>
          <w:rFonts w:ascii="Times New Roman" w:hAnsi="Times New Roman" w:cs="Times New Roman"/>
          <w:color w:val="000000" w:themeColor="text1"/>
          <w:sz w:val="22"/>
          <w:szCs w:val="22"/>
        </w:rPr>
        <w:t>, di proprietà del Comune di Castagnole Monferrato, in forza di licenza gratuita e revocabile limitata alla manifestazione, senza facoltà di registrarlo o di impiegarlo per iniziative diverse, e previo assenso del Consorzio di Tutela per l'uso della denominazione. Espone nel materiale promozionale la dicitura "Con il contributo dei Comuni di Castagnole Monferrato, Portacomaro, Scurzolengo, Refrancore, Viarigi, Grana Monferrato e Montemagno Monferrato".</w:t>
      </w:r>
    </w:p>
    <w:p w14:paraId="09C773AB" w14:textId="77777777"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Art. 10 — Contributo e rendicontazione</w:t>
      </w:r>
    </w:p>
    <w:p w14:paraId="43AD28C2"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10.1 A sostegno dell'organizzazione della manifestazione, il Comune capofila eroga all'organizzatore un contributo complessivo di </w:t>
      </w:r>
      <w:r w:rsidRPr="000A209A">
        <w:rPr>
          <w:rFonts w:ascii="Times New Roman" w:hAnsi="Times New Roman" w:cs="Times New Roman"/>
          <w:b/>
          <w:bCs/>
          <w:color w:val="000000" w:themeColor="text1"/>
          <w:sz w:val="22"/>
          <w:szCs w:val="22"/>
        </w:rPr>
        <w:t>€ 7.000,00</w:t>
      </w:r>
      <w:r w:rsidRPr="000A209A">
        <w:rPr>
          <w:rFonts w:ascii="Times New Roman" w:hAnsi="Times New Roman" w:cs="Times New Roman"/>
          <w:color w:val="000000" w:themeColor="text1"/>
          <w:sz w:val="22"/>
          <w:szCs w:val="22"/>
        </w:rPr>
        <w:t>, corrispondente al concorso finanziario dei sette Comuni, secondo le modalità e i termini stabiliti dall'accordo ex art. 15 e dal disciplinare.</w:t>
      </w:r>
    </w:p>
    <w:p w14:paraId="650178CF"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10.2 L'erogazione è subordinata alla verifica dell'iscrizione al RASD e alla sottoscrizione del disciplinare. Il disciplinare disciplina la rendicontazione e prevede la </w:t>
      </w:r>
      <w:r w:rsidRPr="000A209A">
        <w:rPr>
          <w:rFonts w:ascii="Times New Roman" w:hAnsi="Times New Roman" w:cs="Times New Roman"/>
          <w:b/>
          <w:bCs/>
          <w:color w:val="000000" w:themeColor="text1"/>
          <w:sz w:val="22"/>
          <w:szCs w:val="22"/>
        </w:rPr>
        <w:t>restituzione delle somme</w:t>
      </w:r>
      <w:r w:rsidRPr="000A209A">
        <w:rPr>
          <w:rFonts w:ascii="Times New Roman" w:hAnsi="Times New Roman" w:cs="Times New Roman"/>
          <w:color w:val="000000" w:themeColor="text1"/>
          <w:sz w:val="22"/>
          <w:szCs w:val="22"/>
        </w:rPr>
        <w:t xml:space="preserve"> in caso di mancato svolgimento della manifestazione, di mancato inserimento in calendario FIDAL o di grave inadempimento, nonché la riduzione proporzionale del contributo ove le entrate complessive coprano integralmente le spese.</w:t>
      </w:r>
    </w:p>
    <w:p w14:paraId="04849158" w14:textId="77777777" w:rsidR="001C133A" w:rsidRPr="000A209A" w:rsidRDefault="00000000">
      <w:pPr>
        <w:pStyle w:val="Titolo1"/>
        <w:spacing w:before="300" w:after="140"/>
        <w:rPr>
          <w:rFonts w:ascii="Times New Roman" w:hAnsi="Times New Roman" w:cs="Times New Roman"/>
          <w:color w:val="000000" w:themeColor="text1"/>
          <w:sz w:val="36"/>
          <w:szCs w:val="36"/>
        </w:rPr>
      </w:pPr>
      <w:r w:rsidRPr="000A209A">
        <w:rPr>
          <w:rFonts w:ascii="Times New Roman" w:hAnsi="Times New Roman" w:cs="Times New Roman"/>
          <w:b/>
          <w:bCs/>
          <w:color w:val="000000" w:themeColor="text1"/>
          <w:sz w:val="24"/>
          <w:szCs w:val="24"/>
        </w:rPr>
        <w:t>Art. 11 — Modalità e termine di presentazione della domanda</w:t>
      </w:r>
    </w:p>
    <w:p w14:paraId="6CC87EE9" w14:textId="5706BA54"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11.1 La domanda, corredata della documentazione richiesta, deve pervenire, a pena di esclusione, esclusivamente a mezzo PEC all'indirizzo del Comune di Castagnole Monferrato, </w:t>
      </w:r>
      <w:r w:rsidRPr="000A209A">
        <w:rPr>
          <w:rFonts w:ascii="Times New Roman" w:hAnsi="Times New Roman" w:cs="Times New Roman"/>
          <w:color w:val="000000" w:themeColor="text1"/>
          <w:sz w:val="22"/>
          <w:szCs w:val="22"/>
          <w:highlight w:val="yellow"/>
        </w:rPr>
        <w:t xml:space="preserve">entro e non oltre le </w:t>
      </w:r>
      <w:r w:rsidRPr="000A209A">
        <w:rPr>
          <w:rFonts w:ascii="Times New Roman" w:hAnsi="Times New Roman" w:cs="Times New Roman"/>
          <w:b/>
          <w:bCs/>
          <w:color w:val="000000" w:themeColor="text1"/>
          <w:sz w:val="22"/>
          <w:szCs w:val="22"/>
          <w:highlight w:val="yellow"/>
        </w:rPr>
        <w:t xml:space="preserve">ore 12:00 del giorno </w:t>
      </w:r>
      <w:r w:rsidR="000A209A">
        <w:rPr>
          <w:rFonts w:ascii="Times New Roman" w:hAnsi="Times New Roman" w:cs="Times New Roman"/>
          <w:b/>
          <w:bCs/>
          <w:color w:val="000000" w:themeColor="text1"/>
          <w:sz w:val="22"/>
          <w:szCs w:val="22"/>
          <w:highlight w:val="yellow"/>
        </w:rPr>
        <w:t>2</w:t>
      </w:r>
      <w:r w:rsidR="00574DEC">
        <w:rPr>
          <w:rFonts w:ascii="Times New Roman" w:hAnsi="Times New Roman" w:cs="Times New Roman"/>
          <w:b/>
          <w:bCs/>
          <w:color w:val="000000" w:themeColor="text1"/>
          <w:sz w:val="22"/>
          <w:szCs w:val="22"/>
          <w:highlight w:val="yellow"/>
        </w:rPr>
        <w:t>5</w:t>
      </w:r>
      <w:r w:rsidR="000A209A">
        <w:rPr>
          <w:rFonts w:ascii="Times New Roman" w:hAnsi="Times New Roman" w:cs="Times New Roman"/>
          <w:b/>
          <w:bCs/>
          <w:color w:val="000000" w:themeColor="text1"/>
          <w:sz w:val="22"/>
          <w:szCs w:val="22"/>
          <w:highlight w:val="yellow"/>
        </w:rPr>
        <w:t>/10/</w:t>
      </w:r>
      <w:r w:rsidRPr="000A209A">
        <w:rPr>
          <w:rFonts w:ascii="Times New Roman" w:hAnsi="Times New Roman" w:cs="Times New Roman"/>
          <w:b/>
          <w:bCs/>
          <w:color w:val="000000" w:themeColor="text1"/>
          <w:sz w:val="22"/>
          <w:szCs w:val="22"/>
          <w:highlight w:val="yellow"/>
        </w:rPr>
        <w:t>2026</w:t>
      </w:r>
      <w:r w:rsidRPr="000A209A">
        <w:rPr>
          <w:rFonts w:ascii="Times New Roman" w:hAnsi="Times New Roman" w:cs="Times New Roman"/>
          <w:color w:val="000000" w:themeColor="text1"/>
          <w:sz w:val="22"/>
          <w:szCs w:val="22"/>
          <w:highlight w:val="yellow"/>
        </w:rPr>
        <w:t>,</w:t>
      </w:r>
      <w:r w:rsidRPr="000A209A">
        <w:rPr>
          <w:rFonts w:ascii="Times New Roman" w:hAnsi="Times New Roman" w:cs="Times New Roman"/>
          <w:color w:val="000000" w:themeColor="text1"/>
          <w:sz w:val="22"/>
          <w:szCs w:val="22"/>
        </w:rPr>
        <w:t xml:space="preserve"> indicando nell'oggetto "Avviso Ecomaratona del Ruché 2027 — domanda di partecipazione". Fa fede la data di consegna della PEC.</w:t>
      </w:r>
    </w:p>
    <w:p w14:paraId="62B99559"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11.2 Alla domanda, redatta sui modelli allegati e sottoscritta digitalmente, sono acclusi: la dichiarazione sostitutiva sul possesso dei requisiti (Allegato 2), la proposta progettuale (art. 6) e lo schema di disciplinare sottoscritto per accettazione (Allegato 4).</w:t>
      </w:r>
    </w:p>
    <w:p w14:paraId="04A355F8"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lastRenderedPageBreak/>
        <w:t>11.3 Non sono prese in considerazione le domande pervenute oltre il termine, presentate da soggetti non legittimati, prive dei requisiti di accesso o della documentazione richiesta, prive di sottoscrizione digitale, ovvero incomplete, condizionate o subordinate. Il Responsabile del procedimento può richiedere integrazioni o chiarimenti sui profili formali.</w:t>
      </w:r>
    </w:p>
    <w:p w14:paraId="0925CE62" w14:textId="77777777"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Art. 12 — Trasparenza, domicilio e comunicazioni</w:t>
      </w:r>
    </w:p>
    <w:p w14:paraId="0A6B3D6D"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12.1 Il presente Avviso è pubblicato in versione integrale, con i suoi allegati, all'Albo Pretorio on line e nel sito istituzionale del Comune di Castagnole Monferrato; l'esito è parimenti pubblicato, con valore di notifica ai partecipanti. Si applicano gli artt. 26 e 27 del D.Lgs. 33/2013.</w:t>
      </w:r>
    </w:p>
    <w:p w14:paraId="4F203E70"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12.2 I partecipanti eleggono domicilio presso l'indirizzo PEC indicato nella domanda, cui sono inviate tutte le comunicazioni.</w:t>
      </w:r>
    </w:p>
    <w:p w14:paraId="23081F3D" w14:textId="77777777"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Art. 13 — Responsabile del procedimento e chiarimenti</w:t>
      </w:r>
    </w:p>
    <w:p w14:paraId="09A324C1"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13.1 Responsabile del procedimento è il Responsabile del Servizio competente del Comune di Castagnole Monferrato. I chiarimenti possono essere richiesti a mezzo PEC entro il quinto giorno antecedente la scadenza.</w:t>
      </w:r>
    </w:p>
    <w:p w14:paraId="52C5BF6D" w14:textId="77777777"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Art. 14 — Trattamento dei dati personali</w:t>
      </w:r>
    </w:p>
    <w:p w14:paraId="074DA519" w14:textId="77777777"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14.1 I dati sono trattati, ai sensi del Regolamento (UE) 2016/679 e del D.Lgs. 196/2003, esclusivamente per le finalità connesse alla presente procedura; titolare del trattamento è il Comune di Castagnole Monferrato.</w:t>
      </w:r>
    </w:p>
    <w:p w14:paraId="48C36428" w14:textId="77777777" w:rsidR="001C133A" w:rsidRPr="000A209A" w:rsidRDefault="00000000">
      <w:pPr>
        <w:pStyle w:val="Titolo1"/>
        <w:spacing w:before="300" w:after="140"/>
        <w:rPr>
          <w:rFonts w:ascii="Times New Roman" w:hAnsi="Times New Roman" w:cs="Times New Roman"/>
          <w:color w:val="000000" w:themeColor="text1"/>
        </w:rPr>
      </w:pPr>
      <w:r w:rsidRPr="000A209A">
        <w:rPr>
          <w:rFonts w:ascii="Times New Roman" w:hAnsi="Times New Roman" w:cs="Times New Roman"/>
          <w:b/>
          <w:bCs/>
          <w:color w:val="000000" w:themeColor="text1"/>
          <w:sz w:val="24"/>
          <w:szCs w:val="24"/>
        </w:rPr>
        <w:t>Art. 15 — Allegati</w:t>
      </w:r>
    </w:p>
    <w:p w14:paraId="6CD9B98F" w14:textId="77777777" w:rsidR="00127FEF"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color w:val="000000" w:themeColor="text1"/>
          <w:sz w:val="22"/>
          <w:szCs w:val="22"/>
        </w:rPr>
        <w:t xml:space="preserve">15.1 Sono allegati al presente Avviso: </w:t>
      </w:r>
    </w:p>
    <w:p w14:paraId="4AC9AB05" w14:textId="77777777" w:rsidR="00127FEF"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sz w:val="22"/>
          <w:szCs w:val="22"/>
        </w:rPr>
        <w:t>Allegato 1</w:t>
      </w:r>
      <w:r w:rsidRPr="000A209A">
        <w:rPr>
          <w:rFonts w:ascii="Times New Roman" w:hAnsi="Times New Roman" w:cs="Times New Roman"/>
          <w:color w:val="000000" w:themeColor="text1"/>
          <w:sz w:val="22"/>
          <w:szCs w:val="22"/>
        </w:rPr>
        <w:t xml:space="preserve"> — modello di domanda di partecipazione; </w:t>
      </w:r>
    </w:p>
    <w:p w14:paraId="25E9C51E" w14:textId="77777777" w:rsidR="00127FEF"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sz w:val="22"/>
          <w:szCs w:val="22"/>
        </w:rPr>
        <w:t>Allegato 2</w:t>
      </w:r>
      <w:r w:rsidRPr="000A209A">
        <w:rPr>
          <w:rFonts w:ascii="Times New Roman" w:hAnsi="Times New Roman" w:cs="Times New Roman"/>
          <w:color w:val="000000" w:themeColor="text1"/>
          <w:sz w:val="22"/>
          <w:szCs w:val="22"/>
        </w:rPr>
        <w:t xml:space="preserve"> — modello di dichiarazione sostitutiva sul possesso dei requisiti; </w:t>
      </w:r>
    </w:p>
    <w:p w14:paraId="55F0B275" w14:textId="77777777" w:rsidR="00127FEF"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sz w:val="22"/>
          <w:szCs w:val="22"/>
        </w:rPr>
        <w:t>Allegato 3</w:t>
      </w:r>
      <w:r w:rsidRPr="000A209A">
        <w:rPr>
          <w:rFonts w:ascii="Times New Roman" w:hAnsi="Times New Roman" w:cs="Times New Roman"/>
          <w:color w:val="000000" w:themeColor="text1"/>
          <w:sz w:val="22"/>
          <w:szCs w:val="22"/>
        </w:rPr>
        <w:t xml:space="preserve"> — schema per la proposta progettuale; </w:t>
      </w:r>
    </w:p>
    <w:p w14:paraId="73EFD3CF" w14:textId="77777777" w:rsidR="00127FEF"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sz w:val="22"/>
          <w:szCs w:val="22"/>
        </w:rPr>
        <w:t>Allegato 4</w:t>
      </w:r>
      <w:r w:rsidRPr="000A209A">
        <w:rPr>
          <w:rFonts w:ascii="Times New Roman" w:hAnsi="Times New Roman" w:cs="Times New Roman"/>
          <w:color w:val="000000" w:themeColor="text1"/>
          <w:sz w:val="22"/>
          <w:szCs w:val="22"/>
        </w:rPr>
        <w:t xml:space="preserve"> — schema di disciplinare/convenzione; </w:t>
      </w:r>
    </w:p>
    <w:p w14:paraId="0AE63597" w14:textId="0DFB120A" w:rsidR="001C133A" w:rsidRPr="000A209A" w:rsidRDefault="00000000">
      <w:pPr>
        <w:spacing w:before="60" w:after="100"/>
        <w:jc w:val="both"/>
        <w:rPr>
          <w:rFonts w:ascii="Times New Roman" w:hAnsi="Times New Roman" w:cs="Times New Roman"/>
          <w:color w:val="000000" w:themeColor="text1"/>
          <w:sz w:val="22"/>
          <w:szCs w:val="22"/>
        </w:rPr>
      </w:pPr>
      <w:r w:rsidRPr="000A209A">
        <w:rPr>
          <w:rFonts w:ascii="Times New Roman" w:hAnsi="Times New Roman" w:cs="Times New Roman"/>
          <w:b/>
          <w:bCs/>
          <w:color w:val="000000" w:themeColor="text1"/>
          <w:sz w:val="22"/>
          <w:szCs w:val="22"/>
        </w:rPr>
        <w:t>Allegato 5</w:t>
      </w:r>
      <w:r w:rsidRPr="000A209A">
        <w:rPr>
          <w:rFonts w:ascii="Times New Roman" w:hAnsi="Times New Roman" w:cs="Times New Roman"/>
          <w:color w:val="000000" w:themeColor="text1"/>
          <w:sz w:val="22"/>
          <w:szCs w:val="22"/>
        </w:rPr>
        <w:t xml:space="preserve"> — planimetria del percorso (partenza Refrancore – arrivo Portacomaro, km 35).</w:t>
      </w:r>
    </w:p>
    <w:p w14:paraId="17CF9B21" w14:textId="77777777" w:rsidR="000A209A" w:rsidRDefault="000A209A">
      <w:pPr>
        <w:spacing w:before="60" w:after="100"/>
        <w:jc w:val="both"/>
        <w:rPr>
          <w:rFonts w:ascii="Times New Roman" w:hAnsi="Times New Roman" w:cs="Times New Roman"/>
          <w:color w:val="000000" w:themeColor="text1"/>
          <w:sz w:val="22"/>
          <w:szCs w:val="22"/>
        </w:rPr>
      </w:pPr>
    </w:p>
    <w:p w14:paraId="45056704" w14:textId="47620E69" w:rsidR="001C133A" w:rsidRPr="000A209A" w:rsidRDefault="00000000" w:rsidP="000A209A">
      <w:pPr>
        <w:spacing w:before="60" w:after="100"/>
        <w:ind w:left="5387"/>
        <w:jc w:val="both"/>
        <w:rPr>
          <w:rFonts w:ascii="Times New Roman" w:hAnsi="Times New Roman" w:cs="Times New Roman"/>
          <w:color w:val="000000" w:themeColor="text1"/>
          <w:sz w:val="22"/>
          <w:szCs w:val="22"/>
        </w:rPr>
      </w:pPr>
      <w:r w:rsidRPr="000A209A">
        <w:rPr>
          <w:rFonts w:ascii="Times New Roman" w:hAnsi="Times New Roman" w:cs="Times New Roman"/>
          <w:i/>
          <w:iCs/>
          <w:color w:val="000000" w:themeColor="text1"/>
          <w:sz w:val="22"/>
          <w:szCs w:val="22"/>
        </w:rPr>
        <w:t>Il Responsabile del Servizio competente — Comune di Castagnole Monferrato</w:t>
      </w:r>
    </w:p>
    <w:sectPr w:rsidR="001C133A" w:rsidRPr="000A209A">
      <w:headerReference w:type="default" r:id="rId8"/>
      <w:footerReference w:type="default" r:id="rId9"/>
      <w:pgSz w:w="11906" w:h="16838"/>
      <w:pgMar w:top="1100" w:right="1200" w:bottom="11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669D2" w14:textId="77777777" w:rsidR="00C43B5F" w:rsidRDefault="00C43B5F">
      <w:pPr>
        <w:spacing w:line="240" w:lineRule="auto"/>
      </w:pPr>
      <w:r>
        <w:separator/>
      </w:r>
    </w:p>
  </w:endnote>
  <w:endnote w:type="continuationSeparator" w:id="0">
    <w:p w14:paraId="6C819801" w14:textId="77777777" w:rsidR="00C43B5F" w:rsidRDefault="00C43B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CA33A" w14:textId="77777777" w:rsidR="001C133A" w:rsidRDefault="00000000">
    <w:pPr>
      <w:jc w:val="center"/>
    </w:pPr>
    <w:r>
      <w:rPr>
        <w:color w:val="808080"/>
        <w:sz w:val="16"/>
        <w:szCs w:val="16"/>
      </w:rPr>
      <w:t xml:space="preserve">Pag. </w:t>
    </w:r>
    <w:r>
      <w:rPr>
        <w:color w:val="808080"/>
        <w:sz w:val="16"/>
        <w:szCs w:val="16"/>
      </w:rPr>
      <w:fldChar w:fldCharType="begin"/>
    </w:r>
    <w:r>
      <w:rPr>
        <w:color w:val="808080"/>
        <w:sz w:val="16"/>
        <w:szCs w:val="16"/>
      </w:rPr>
      <w:instrText>PAGE</w:instrText>
    </w:r>
    <w:r>
      <w:rPr>
        <w:color w:val="808080"/>
        <w:sz w:val="16"/>
        <w:szCs w:val="16"/>
      </w:rPr>
      <w:fldChar w:fldCharType="separate"/>
    </w:r>
    <w:r w:rsidR="00127FEF">
      <w:rPr>
        <w:noProof/>
        <w:color w:val="808080"/>
        <w:sz w:val="16"/>
        <w:szCs w:val="16"/>
      </w:rPr>
      <w:t>1</w:t>
    </w:r>
    <w:r>
      <w:rPr>
        <w:color w:val="808080"/>
        <w:sz w:val="16"/>
        <w:szCs w:val="16"/>
      </w:rPr>
      <w:fldChar w:fldCharType="end"/>
    </w:r>
    <w:r>
      <w:rPr>
        <w:color w:val="808080"/>
        <w:sz w:val="16"/>
        <w:szCs w:val="16"/>
      </w:rPr>
      <w:t xml:space="preserve"> di </w:t>
    </w:r>
    <w:r>
      <w:rPr>
        <w:color w:val="808080"/>
        <w:sz w:val="16"/>
        <w:szCs w:val="16"/>
      </w:rPr>
      <w:fldChar w:fldCharType="begin"/>
    </w:r>
    <w:r>
      <w:rPr>
        <w:color w:val="808080"/>
        <w:sz w:val="16"/>
        <w:szCs w:val="16"/>
      </w:rPr>
      <w:instrText>NUMPAGES</w:instrText>
    </w:r>
    <w:r>
      <w:rPr>
        <w:color w:val="808080"/>
        <w:sz w:val="16"/>
        <w:szCs w:val="16"/>
      </w:rPr>
      <w:fldChar w:fldCharType="separate"/>
    </w:r>
    <w:r w:rsidR="00127FEF">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6AA42" w14:textId="77777777" w:rsidR="00C43B5F" w:rsidRDefault="00C43B5F">
      <w:pPr>
        <w:spacing w:line="240" w:lineRule="auto"/>
      </w:pPr>
      <w:r>
        <w:separator/>
      </w:r>
    </w:p>
  </w:footnote>
  <w:footnote w:type="continuationSeparator" w:id="0">
    <w:p w14:paraId="70FB6F1D" w14:textId="77777777" w:rsidR="00C43B5F" w:rsidRDefault="00C43B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7F8B9" w14:textId="081AA8F9" w:rsidR="001C133A" w:rsidRDefault="001C133A" w:rsidP="000A209A">
    <w:pPr>
      <w:pBdr>
        <w:bottom w:val="single" w:sz="4" w:space="4" w:color="BFBFBF"/>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DA0D51"/>
    <w:multiLevelType w:val="hybridMultilevel"/>
    <w:tmpl w:val="401610B0"/>
    <w:lvl w:ilvl="0" w:tplc="A9D0FC62">
      <w:start w:val="1"/>
      <w:numFmt w:val="decimal"/>
      <w:lvlText w:val="%1."/>
      <w:lvlJc w:val="left"/>
      <w:pPr>
        <w:ind w:left="460" w:hanging="260"/>
      </w:pPr>
    </w:lvl>
    <w:lvl w:ilvl="1" w:tplc="EFE4B6C0">
      <w:numFmt w:val="decimal"/>
      <w:lvlText w:val=""/>
      <w:lvlJc w:val="left"/>
    </w:lvl>
    <w:lvl w:ilvl="2" w:tplc="84C86908">
      <w:numFmt w:val="decimal"/>
      <w:lvlText w:val=""/>
      <w:lvlJc w:val="left"/>
    </w:lvl>
    <w:lvl w:ilvl="3" w:tplc="F458856A">
      <w:numFmt w:val="decimal"/>
      <w:lvlText w:val=""/>
      <w:lvlJc w:val="left"/>
    </w:lvl>
    <w:lvl w:ilvl="4" w:tplc="A5183D4C">
      <w:numFmt w:val="decimal"/>
      <w:lvlText w:val=""/>
      <w:lvlJc w:val="left"/>
    </w:lvl>
    <w:lvl w:ilvl="5" w:tplc="EDCEA56C">
      <w:numFmt w:val="decimal"/>
      <w:lvlText w:val=""/>
      <w:lvlJc w:val="left"/>
    </w:lvl>
    <w:lvl w:ilvl="6" w:tplc="CFE8974C">
      <w:numFmt w:val="decimal"/>
      <w:lvlText w:val=""/>
      <w:lvlJc w:val="left"/>
    </w:lvl>
    <w:lvl w:ilvl="7" w:tplc="C2BC35B4">
      <w:numFmt w:val="decimal"/>
      <w:lvlText w:val=""/>
      <w:lvlJc w:val="left"/>
    </w:lvl>
    <w:lvl w:ilvl="8" w:tplc="B0D21FE8">
      <w:numFmt w:val="decimal"/>
      <w:lvlText w:val=""/>
      <w:lvlJc w:val="left"/>
    </w:lvl>
  </w:abstractNum>
  <w:abstractNum w:abstractNumId="1" w15:restartNumberingAfterBreak="0">
    <w:nsid w:val="764624B8"/>
    <w:multiLevelType w:val="hybridMultilevel"/>
    <w:tmpl w:val="5BC60D5C"/>
    <w:lvl w:ilvl="0" w:tplc="04100005">
      <w:start w:val="1"/>
      <w:numFmt w:val="bullet"/>
      <w:lvlText w:val=""/>
      <w:lvlJc w:val="left"/>
      <w:pPr>
        <w:ind w:left="720" w:hanging="360"/>
      </w:pPr>
      <w:rPr>
        <w:rFonts w:ascii="Wingdings" w:hAnsi="Wingdings" w:hint="default"/>
      </w:rPr>
    </w:lvl>
    <w:lvl w:ilvl="1" w:tplc="47F4C8F4">
      <w:start w:val="1"/>
      <w:numFmt w:val="bullet"/>
      <w:lvlText w:val="○"/>
      <w:lvlJc w:val="left"/>
      <w:pPr>
        <w:ind w:left="1440" w:hanging="360"/>
      </w:pPr>
    </w:lvl>
    <w:lvl w:ilvl="2" w:tplc="CCDA4AEC">
      <w:start w:val="1"/>
      <w:numFmt w:val="bullet"/>
      <w:lvlText w:val="■"/>
      <w:lvlJc w:val="left"/>
      <w:pPr>
        <w:ind w:left="2160" w:hanging="360"/>
      </w:pPr>
    </w:lvl>
    <w:lvl w:ilvl="3" w:tplc="B170CAF2">
      <w:start w:val="1"/>
      <w:numFmt w:val="bullet"/>
      <w:lvlText w:val="●"/>
      <w:lvlJc w:val="left"/>
      <w:pPr>
        <w:ind w:left="2880" w:hanging="360"/>
      </w:pPr>
    </w:lvl>
    <w:lvl w:ilvl="4" w:tplc="3304A1CE">
      <w:start w:val="1"/>
      <w:numFmt w:val="bullet"/>
      <w:lvlText w:val="○"/>
      <w:lvlJc w:val="left"/>
      <w:pPr>
        <w:ind w:left="3600" w:hanging="360"/>
      </w:pPr>
    </w:lvl>
    <w:lvl w:ilvl="5" w:tplc="DD966C9A">
      <w:start w:val="1"/>
      <w:numFmt w:val="bullet"/>
      <w:lvlText w:val="■"/>
      <w:lvlJc w:val="left"/>
      <w:pPr>
        <w:ind w:left="4320" w:hanging="360"/>
      </w:pPr>
    </w:lvl>
    <w:lvl w:ilvl="6" w:tplc="BCBE51E2">
      <w:start w:val="1"/>
      <w:numFmt w:val="bullet"/>
      <w:lvlText w:val="●"/>
      <w:lvlJc w:val="left"/>
      <w:pPr>
        <w:ind w:left="5040" w:hanging="360"/>
      </w:pPr>
    </w:lvl>
    <w:lvl w:ilvl="7" w:tplc="CB74C1D6">
      <w:start w:val="1"/>
      <w:numFmt w:val="bullet"/>
      <w:lvlText w:val="●"/>
      <w:lvlJc w:val="left"/>
      <w:pPr>
        <w:ind w:left="5760" w:hanging="360"/>
      </w:pPr>
    </w:lvl>
    <w:lvl w:ilvl="8" w:tplc="B9A4796E">
      <w:start w:val="1"/>
      <w:numFmt w:val="bullet"/>
      <w:lvlText w:val="●"/>
      <w:lvlJc w:val="left"/>
      <w:pPr>
        <w:ind w:left="6480" w:hanging="360"/>
      </w:pPr>
    </w:lvl>
  </w:abstractNum>
  <w:num w:numId="1" w16cid:durableId="487938232">
    <w:abstractNumId w:val="1"/>
  </w:num>
  <w:num w:numId="2" w16cid:durableId="31729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33A"/>
    <w:rsid w:val="000A209A"/>
    <w:rsid w:val="00127FEF"/>
    <w:rsid w:val="001C133A"/>
    <w:rsid w:val="0047535D"/>
    <w:rsid w:val="004C0D5F"/>
    <w:rsid w:val="00574DEC"/>
    <w:rsid w:val="005E7F72"/>
    <w:rsid w:val="00772FD3"/>
    <w:rsid w:val="00967AEF"/>
    <w:rsid w:val="009C2C8B"/>
    <w:rsid w:val="00A64E60"/>
    <w:rsid w:val="00A7744D"/>
    <w:rsid w:val="00C43B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3427E"/>
  <w15:docId w15:val="{9EAEF32F-0FFA-465D-BC21-51B910DC5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pPr>
        <w:spacing w:line="2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pPr>
      <w:spacing w:line="240" w:lineRule="auto"/>
    </w:p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pPr>
      <w:spacing w:line="240" w:lineRule="auto"/>
    </w:p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0A209A"/>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0A209A"/>
  </w:style>
  <w:style w:type="paragraph" w:styleId="Pidipagina">
    <w:name w:val="footer"/>
    <w:basedOn w:val="Normale"/>
    <w:link w:val="PidipaginaCarattere"/>
    <w:uiPriority w:val="99"/>
    <w:unhideWhenUsed/>
    <w:rsid w:val="000A209A"/>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0A2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2924</Words>
  <Characters>16669</Characters>
  <Application>Microsoft Office Word</Application>
  <DocSecurity>0</DocSecurity>
  <Lines>138</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Castagnole</cp:lastModifiedBy>
  <cp:revision>6</cp:revision>
  <dcterms:created xsi:type="dcterms:W3CDTF">2026-09-23T07:32:00Z</dcterms:created>
  <dcterms:modified xsi:type="dcterms:W3CDTF">2026-10-14T08:29:00Z</dcterms:modified>
</cp:coreProperties>
</file>